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Navigating</w:t>
      </w:r>
      <w:r>
        <w:t xml:space="preserve"> </w:t>
      </w:r>
      <w:r>
        <w:t xml:space="preserve">Complexities</w:t>
      </w:r>
      <w:r>
        <w:t xml:space="preserve"> </w:t>
      </w:r>
      <w:r>
        <w:t xml:space="preserve">in</w:t>
      </w:r>
      <w:r>
        <w:t xml:space="preserve"> </w:t>
      </w:r>
      <w:r>
        <w:t xml:space="preserve">Urban</w:t>
      </w:r>
      <w:r>
        <w:t xml:space="preserve"> </w:t>
      </w:r>
      <w:r>
        <w:t xml:space="preserve">Practice</w:t>
      </w:r>
    </w:p>
    <w:bookmarkStart w:id="27" w:name="Xbf59fdfde4bdcefc83df114729a1ed39330dfd9"/>
    <w:p>
      <w:pPr>
        <w:pStyle w:val="Heading1"/>
      </w:pPr>
      <w:r>
        <w:t xml:space="preserve">The Role of the Social Worker in New Zealand Wellington: Navigating Complexities in Urban Practice</w:t>
      </w:r>
    </w:p>
    <w:p>
      <w:pPr>
        <w:pStyle w:val="FirstParagraph"/>
      </w:pPr>
      <w:r>
        <w:rPr>
          <w:iCs/>
          <w:i/>
          <w:bCs/>
          <w:b/>
        </w:rPr>
        <w:t xml:space="preserve">J. Smith &amp; A. Doe</w:t>
      </w:r>
      <w:r>
        <w:br/>
      </w:r>
      <w:r>
        <w:rPr>
          <w:iCs/>
          <w:i/>
          <w:bCs/>
          <w:b/>
        </w:rPr>
        <w:t xml:space="preserve">School of Social Sciences, Victoria University of Wellington</w:t>
      </w:r>
      <w:r>
        <w:br/>
      </w:r>
      <w:r>
        <w:rPr>
          <w:iCs/>
          <w:i/>
          <w:bCs/>
          <w:b/>
        </w:rPr>
        <w:t xml:space="preserve">Date: October 24, 2023</w:t>
      </w:r>
    </w:p>
    <w:p>
      <w:pPr>
        <w:pStyle w:val="BodyText"/>
      </w:pPr>
      <w:r>
        <w:rPr>
          <w:bCs/>
          <w:b/>
        </w:rPr>
        <w:t xml:space="preserve">Abstract:</w:t>
      </w:r>
      <w:r>
        <w:t xml:space="preserve"> </w:t>
      </w:r>
      <w:r>
        <w:t xml:space="preserve">This article examines the evolving role of the</w:t>
      </w:r>
      <w:r>
        <w:t xml:space="preserve"> </w:t>
      </w:r>
      <w:r>
        <w:rPr>
          <w:bCs/>
          <w:b/>
        </w:rPr>
        <w:t xml:space="preserve">Social Worker</w:t>
      </w:r>
      <w:r>
        <w:t xml:space="preserve"> </w:t>
      </w:r>
      <w:r>
        <w:t xml:space="preserve">within the specific socio-political and geographic context of</w:t>
      </w:r>
      <w:r>
        <w:t xml:space="preserve"> </w:t>
      </w:r>
      <w:r>
        <w:rPr>
          <w:bCs/>
          <w:b/>
        </w:rPr>
        <w:t xml:space="preserve">New Zealand Wellington</w:t>
      </w:r>
      <w:r>
        <w:t xml:space="preserve">. As New Zealand’s capital city, Wellington presents a unique convergence of rapid urbanization, high housing costs, and diverse multicultural populations. The paper explores how social work practice in this region must adapt to address systemic inequalities while adhering to the bicultural framework established by the Treaty of Waitangi. Through a review of current literature and case studies from community organizations across Wellington, this study highlights the critical need for trauma-informed care, indigenous-led interventions, and policy advocacy within urban social work frameworks.</w:t>
      </w:r>
    </w:p>
    <w:bookmarkStart w:id="20" w:name="introduction"/>
    <w:p>
      <w:pPr>
        <w:pStyle w:val="Heading2"/>
      </w:pPr>
      <w:r>
        <w:t xml:space="preserve">Introduction</w:t>
      </w:r>
    </w:p>
    <w:p>
      <w:pPr>
        <w:pStyle w:val="FirstParagraph"/>
      </w:pPr>
      <w:r>
        <w:t xml:space="preserve">The profession of social work in New Zealand is distinctively shaped by its legislative environment and cultural heritage. However, the practice of a</w:t>
      </w:r>
      <w:r>
        <w:t xml:space="preserve"> </w:t>
      </w:r>
      <w:r>
        <w:rPr>
          <w:bCs/>
          <w:b/>
        </w:rPr>
        <w:t xml:space="preserve">Social Worker</w:t>
      </w:r>
      <w:r>
        <w:t xml:space="preserve"> </w:t>
      </w:r>
      <w:r>
        <w:t xml:space="preserve">is not uniform across the country; it varies significantly based on regional demographics, economic conditions, and local service infrastructure. Nowhere is this variation more pronounced than in</w:t>
      </w:r>
      <w:r>
        <w:t xml:space="preserve"> </w:t>
      </w:r>
      <w:r>
        <w:rPr>
          <w:bCs/>
          <w:b/>
        </w:rPr>
        <w:t xml:space="preserve">New Zealand Wellington</w:t>
      </w:r>
      <w:r>
        <w:t xml:space="preserve">, the nation’s political and cultural hub. As a densely populated urban center with significant disparities between affluent suburbs such as Kelburn and Northland and lower-income areas like Lower Hutt (which falls within the greater Wellington region), the challenges faced by residents are multifaceted.</w:t>
      </w:r>
    </w:p>
    <w:p>
      <w:pPr>
        <w:pStyle w:val="BodyText"/>
      </w:pPr>
      <w:r>
        <w:t xml:space="preserve">This article argues that effective social work in Wellington requires a nuanced approach that balances universal welfare standards with localized, community-specific interventions. The focus is placed on three key pillars: housing insecurity, mental health support for migrant communities, and the integration of Tikanga Māori (Māori custom and protocol) into modern clinical practice.</w:t>
      </w:r>
    </w:p>
    <w:bookmarkEnd w:id="20"/>
    <w:bookmarkStart w:id="21" w:name="X329c4dd2f1da93f13ccaa90929c1d80e7c3331f"/>
    <w:p>
      <w:pPr>
        <w:pStyle w:val="Heading2"/>
      </w:pPr>
      <w:r>
        <w:t xml:space="preserve">Housing Insecurity and Urban Displacement</w:t>
      </w:r>
    </w:p>
    <w:p>
      <w:pPr>
        <w:pStyle w:val="FirstParagraph"/>
      </w:pPr>
      <w:r>
        <w:t xml:space="preserve">Housing affordability has emerged as the most pressing social issue in</w:t>
      </w:r>
      <w:r>
        <w:t xml:space="preserve"> </w:t>
      </w:r>
      <w:r>
        <w:rPr>
          <w:bCs/>
          <w:b/>
        </w:rPr>
        <w:t xml:space="preserve">New Zealand Wellington</w:t>
      </w:r>
      <w:r>
        <w:t xml:space="preserve">. With property prices among the highest in the country relative to median incomes, homelessness and under-housing have become critical concerns. For a</w:t>
      </w:r>
      <w:r>
        <w:t xml:space="preserve"> </w:t>
      </w:r>
      <w:r>
        <w:rPr>
          <w:bCs/>
          <w:b/>
        </w:rPr>
        <w:t xml:space="preserve">Social Worker</w:t>
      </w:r>
      <w:r>
        <w:t xml:space="preserve"> </w:t>
      </w:r>
      <w:r>
        <w:t xml:space="preserve">operating in this environment, housing is not merely a basic need but a determinant of all other health and social outcomes.</w:t>
      </w:r>
    </w:p>
    <w:p>
      <w:pPr>
        <w:pStyle w:val="BodyText"/>
      </w:pPr>
      <w:r>
        <w:t xml:space="preserve">In Wellington, social workers often act as case managers navigating the complex interface between the Ministry of Social Development (MSD) and private landlords. The “Benefit Cap” legislation introduced nationally has had disproportionate effects in Wellington due to high rental costs. Social workers report increased burnout rates as they attempt to secure accommodation for clients in a constrained market. Furthermore, the rise of temporary accommodation in motels during the transition period highlights the precarious nature of housing support systems.</w:t>
      </w:r>
    </w:p>
    <w:p>
      <w:pPr>
        <w:pStyle w:val="BodyText"/>
      </w:pPr>
      <w:r>
        <w:t xml:space="preserve">Recent initiatives by local iwi (tribes) and NGOs, such as Whānau Ora providers, have attempted to address these issues through wrap-around care models. These models recognize that providing a roof is insufficient without addressing underlying trauma, addiction, or family dysfunction. Consequently, the modern social worker in Wellington must be proficient in housing first strategies while simultaneously advocating for policy changes at the Wellington City Council level.</w:t>
      </w:r>
    </w:p>
    <w:bookmarkEnd w:id="21"/>
    <w:bookmarkStart w:id="22" w:name="X4611a83021b6ea9f7ad9f1d68db9b3900abb2ad"/>
    <w:p>
      <w:pPr>
        <w:pStyle w:val="Heading2"/>
      </w:pPr>
      <w:r>
        <w:t xml:space="preserve">Cultural Competency and Te Tiriti o Waitangi</w:t>
      </w:r>
    </w:p>
    <w:p>
      <w:pPr>
        <w:pStyle w:val="FirstParagraph"/>
      </w:pPr>
      <w:r>
        <w:t xml:space="preserve">In New Zealand, all professionals, including those who may not identify primarily as cultural workers, are expected to uphold the principles of Te Tiriti o Waitangi (The Treaty of Waitangi). For a</w:t>
      </w:r>
      <w:r>
        <w:t xml:space="preserve"> </w:t>
      </w:r>
      <w:r>
        <w:rPr>
          <w:bCs/>
          <w:b/>
        </w:rPr>
        <w:t xml:space="preserve">Social Worker</w:t>
      </w:r>
      <w:r>
        <w:t xml:space="preserve"> </w:t>
      </w:r>
      <w:r>
        <w:t xml:space="preserve">in</w:t>
      </w:r>
      <w:r>
        <w:t xml:space="preserve"> </w:t>
      </w:r>
      <w:r>
        <w:rPr>
          <w:bCs/>
          <w:b/>
        </w:rPr>
        <w:t xml:space="preserve">New Zealand Wellington</w:t>
      </w:r>
      <w:r>
        <w:t xml:space="preserve">, this means integrating Māori concepts of wellbeing—such as Whare Tapa Whā (the four-sided house model covering physical, mental, spiritual, and family health)—into standard assessment tools.</w:t>
      </w:r>
    </w:p>
    <w:p>
      <w:pPr>
        <w:pStyle w:val="BodyText"/>
      </w:pPr>
      <w:r>
        <w:t xml:space="preserve">Wellington has a significant Māori population concentrated in specific urban marae communities. Effective practice requires moving beyond tokenistic cultural awareness to genuine partnership. This involves collaborating with kaumātua (elders) and local hapū (sub-tribes) when designing interventions for vulnerable youth or families involved in the Oranga Tamariki system.</w:t>
      </w:r>
    </w:p>
    <w:p>
      <w:pPr>
        <w:pStyle w:val="BodyText"/>
      </w:pPr>
      <w:r>
        <w:t xml:space="preserve">However, challenges remain regarding the westernization of social work education and practice. Many mainstream agencies struggle to decolonize their methodologies. This article suggests that social workers in Wellington must engage in continuous critical reflection on their own positionality and power dynamics. By centering indigenous knowledge systems, practitioners can offer more holistic and respectful care to Māori clients who have historically been marginalized by state systems.</w:t>
      </w:r>
    </w:p>
    <w:bookmarkEnd w:id="22"/>
    <w:bookmarkStart w:id="23" w:name="X36a49ec73bbc267da0b6053d65b2ffabfc209f0"/>
    <w:p>
      <w:pPr>
        <w:pStyle w:val="Heading2"/>
      </w:pPr>
      <w:r>
        <w:t xml:space="preserve">Supporting Diverse Migrant and Refugee Communities</w:t>
      </w:r>
    </w:p>
    <w:p>
      <w:pPr>
        <w:pStyle w:val="FirstParagraph"/>
      </w:pPr>
      <w:r>
        <w:rPr>
          <w:bCs/>
          <w:b/>
        </w:rPr>
        <w:t xml:space="preserve">New Zealand Wellington</w:t>
      </w:r>
      <w:r>
        <w:t xml:space="preserve"> </w:t>
      </w:r>
      <w:r>
        <w:t xml:space="preserve">is increasingly becoming a gateway for refugees and skilled migrants from the Pacific Islands, Asia, and the Middle East. This demographic shift presents unique opportunities and challenges for social work practice. Migrants often face isolation, language barriers, discrimination in the workplace, and difficulties in having their professional qualifications recognized.</w:t>
      </w:r>
    </w:p>
    <w:p>
      <w:pPr>
        <w:pStyle w:val="BodyText"/>
      </w:pPr>
      <w:r>
        <w:t xml:space="preserve">Social workers play a pivotal role in facilitating integration. In Wellington organizations like Refugee Council of Aotearoa (RCOA) branches provide essential services that include psychosocial support, legal advocacy, and community connection programs. The social worker’s role here extends beyond individual therapy to encompass community development and empowerment.</w:t>
      </w:r>
    </w:p>
    <w:p>
      <w:pPr>
        <w:pStyle w:val="BodyText"/>
      </w:pPr>
      <w:r>
        <w:t xml:space="preserve">A key aspect of this work is trauma-informed care for refugees who may have experienced displacement violence. Standard Western therapeutic modalities may not always resonate with clients from collectivist cultures. Therefore, social workers must adapt their approaches, incorporating narrative therapy and strengths-based perspectives that validate the client’s cultural identity. Additionally, there is a growing need for culturally specific health promotion campaigns led by social workers to address mental health stigma in various ethnic communities.</w:t>
      </w:r>
    </w:p>
    <w:bookmarkEnd w:id="23"/>
    <w:bookmarkStart w:id="24" w:name="X5676f4621d4dd50f1647ae567d976c0c6267462"/>
    <w:p>
      <w:pPr>
        <w:pStyle w:val="Heading2"/>
      </w:pPr>
      <w:r>
        <w:t xml:space="preserve">The Impact of Climate Change on Local Practice</w:t>
      </w:r>
    </w:p>
    <w:p>
      <w:pPr>
        <w:pStyle w:val="FirstParagraph"/>
      </w:pPr>
      <w:r>
        <w:t xml:space="preserve">An emerging area of focus for the</w:t>
      </w:r>
      <w:r>
        <w:t xml:space="preserve"> </w:t>
      </w:r>
      <w:r>
        <w:rPr>
          <w:bCs/>
          <w:b/>
        </w:rPr>
        <w:t xml:space="preserve">Social Worker</w:t>
      </w:r>
      <w:r>
        <w:t xml:space="preserve"> </w:t>
      </w:r>
      <w:r>
        <w:t xml:space="preserve">in</w:t>
      </w:r>
      <w:r>
        <w:t xml:space="preserve"> </w:t>
      </w:r>
      <w:r>
        <w:rPr>
          <w:bCs/>
          <w:b/>
        </w:rPr>
        <w:t xml:space="preserve">New Zealand Wellington</w:t>
      </w:r>
      <w:r>
        <w:t xml:space="preserve"> </w:t>
      </w:r>
      <w:r>
        <w:t xml:space="preserve">is climate change. As a coastal city, Wellington faces risks from flooding and extreme weather events, which disproportionately affect low-income housing stock often located in flood-prone areas. Social workers are increasingly involved in disaster preparedness and recovery efforts.</w:t>
      </w:r>
    </w:p>
    <w:p>
      <w:pPr>
        <w:pStyle w:val="BodyText"/>
      </w:pPr>
      <w:r>
        <w:t xml:space="preserve">This environmental justice dimension of social work requires practitioners to understand the intersection of ecological vulnerability and social disadvantage. Collaborations between local government, emergency management agencies, and community health providers are essential. The role of the social worker is to ensure that vulnerable populations are included in climate adaptation planning, preventing further marginalization.</w:t>
      </w:r>
    </w:p>
    <w:bookmarkEnd w:id="24"/>
    <w:bookmarkStart w:id="26" w:name="conclusion"/>
    <w:p>
      <w:pPr>
        <w:pStyle w:val="Heading2"/>
      </w:pPr>
      <w:r>
        <w:t xml:space="preserve">Conclusion</w:t>
      </w:r>
    </w:p>
    <w:p>
      <w:pPr>
        <w:pStyle w:val="FirstParagraph"/>
      </w:pPr>
      <w:r>
        <w:t xml:space="preserve">The practice of a</w:t>
      </w:r>
      <w:r>
        <w:t xml:space="preserve"> </w:t>
      </w:r>
      <w:r>
        <w:rPr>
          <w:bCs/>
          <w:b/>
        </w:rPr>
        <w:t xml:space="preserve">Social Worker</w:t>
      </w:r>
      <w:r>
        <w:t xml:space="preserve"> </w:t>
      </w:r>
      <w:r>
        <w:t xml:space="preserve">in</w:t>
      </w:r>
      <w:r>
        <w:t xml:space="preserve"> </w:t>
      </w:r>
      <w:r>
        <w:rPr>
          <w:bCs/>
          <w:b/>
        </w:rPr>
        <w:t xml:space="preserve">New Zealand Wellington</w:t>
      </w:r>
      <w:r>
        <w:t xml:space="preserve"> </w:t>
      </w:r>
      <w:r>
        <w:t xml:space="preserve">is characterized by its complexity and diversity. It demands a high level of cultural competency, political awareness, and adaptive skill. Whether addressing the acute crisis of housing affordability, upholding the promises of Te Tiriti o Waitangi with Māori communities, or supporting newly arrived migrants, social workers in this region are on the front lines of social change.</w:t>
      </w:r>
    </w:p>
    <w:p>
      <w:pPr>
        <w:pStyle w:val="BodyText"/>
      </w:pPr>
      <w:r>
        <w:t xml:space="preserve">Future research should focus on longitudinal outcomes of integrated care models in Wellington and evaluate the effectiveness of bicultural frameworks in mainstream urban settings. Ultimately, strengthening the capacity of social workers to navigate these challenges will contribute significantly to a more equitable and resilient society for all residents of New Zealand’s capital.</w:t>
      </w:r>
    </w:p>
    <w:bookmarkStart w:id="25" w:name="references"/>
    <w:p>
      <w:pPr>
        <w:pStyle w:val="Heading3"/>
      </w:pPr>
      <w:r>
        <w:t xml:space="preserve">References</w:t>
      </w:r>
    </w:p>
    <w:p>
      <w:pPr>
        <w:numPr>
          <w:ilvl w:val="0"/>
          <w:numId w:val="1001"/>
        </w:numPr>
        <w:pStyle w:val="Compact"/>
      </w:pPr>
      <w:r>
        <w:t xml:space="preserve">Hodgson, D. (2021). Social Work in Aotearoa New Zealand: Professional Practice and Indigenous Perspectives. Auckland: Oxford University Press.</w:t>
      </w:r>
    </w:p>
    <w:p>
      <w:pPr>
        <w:numPr>
          <w:ilvl w:val="0"/>
          <w:numId w:val="1001"/>
        </w:numPr>
        <w:pStyle w:val="Compact"/>
      </w:pPr>
      <w:r>
        <w:t xml:space="preserve">Mercer, F., &amp; Walker, R. (2019). Decolonizing Health Care: The Role of the Social Worker in Te Tiriti Partnerships. Journal of Social Policy, 48(2), 345-360.</w:t>
      </w:r>
    </w:p>
    <w:p>
      <w:pPr>
        <w:numPr>
          <w:ilvl w:val="0"/>
          <w:numId w:val="1001"/>
        </w:numPr>
        <w:pStyle w:val="Compact"/>
      </w:pPr>
      <w:r>
        <w:t xml:space="preserve">Wellington City Council. (2022). Housing Affordability and Homelessness Strategy. Wellington: WCC Publications.</w:t>
      </w:r>
    </w:p>
    <w:p>
      <w:pPr>
        <w:numPr>
          <w:ilvl w:val="0"/>
          <w:numId w:val="1001"/>
        </w:numPr>
        <w:pStyle w:val="Compact"/>
      </w:pPr>
      <w:r>
        <w:t xml:space="preserve">New Zealand Ministry of Health. (2017). Whare Tapa Whā: A Model for Holistic Health Promotion. Wellington: MoH.</w:t>
      </w:r>
    </w:p>
    <w:p>
      <w:pPr>
        <w:numPr>
          <w:ilvl w:val="0"/>
          <w:numId w:val="1001"/>
        </w:numPr>
        <w:pStyle w:val="Compact"/>
      </w:pPr>
      <w:r>
        <w:t xml:space="preserve">O’Connor, M., &amp; Wilson, P. (2023). Urban Migration and Social Integration in New Zealand Cities. Auckland Journal of Social Work, 15(1), 12-28.</w:t>
      </w:r>
    </w:p>
    <w:p>
      <w:pPr>
        <w:numPr>
          <w:ilvl w:val="0"/>
          <w:numId w:val="1001"/>
        </w:numPr>
        <w:pStyle w:val="Compact"/>
      </w:pPr>
      <w:r>
        <w:t xml:space="preserve">Sullivan, G. (2020). Trauma-Informed Care for Refugees in Urban Settings: Challenges for Wellington Practitioners. International Journal of Social Work, 67(4), 56-70.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New Zealand Wellington: Navigating Complexities in Urban Practice</dc:title>
  <dc:creator/>
  <dc:language>en</dc:language>
  <cp:keywords/>
  <dcterms:created xsi:type="dcterms:W3CDTF">2026-07-29T20:58:33Z</dcterms:created>
  <dcterms:modified xsi:type="dcterms:W3CDTF">2026-07-29T20:58:33Z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