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9" w:name="Xefb039846e1a2c4080a1762798a026c9422846b"/>
    <w:p>
      <w:pPr>
        <w:pStyle w:val="Heading1"/>
      </w:pPr>
      <w:r>
        <w:t xml:space="preserve">The Role and Challenges of the Special Education Teacher in Germany: A Case Study of Frankfurt am Main</w:t>
      </w:r>
    </w:p>
    <w:p>
      <w:pPr>
        <w:pStyle w:val="FirstParagraph"/>
      </w:pPr>
      <w:r>
        <w:rPr>
          <w:bCs/>
          <w:b/>
        </w:rPr>
        <w:t xml:space="preserve">Abstract</w:t>
      </w:r>
    </w:p>
    <w:p>
      <w:pPr>
        <w:pStyle w:val="BodyText"/>
      </w:pPr>
      <w:r>
        <w:t xml:space="preserve">This article examines the evolving role of the special education teacher within the German educational system, with a specific focus on the urban context of Frankfurt am Main. As Germany transitions from a segregated model to one emphasizing inclusive education (</w:t>
      </w:r>
      <w:r>
        <w:rPr>
          <w:iCs/>
          <w:i/>
        </w:rPr>
        <w:t xml:space="preserve">Inklusion</w:t>
      </w:r>
      <w:r>
        <w:t xml:space="preserve">), special education teachers face complex pedagogical and systemic challenges. This paper analyzes current legislative frameworks, demographic pressures in Frankfurt due to urbanization and migration, and the professional competencies required for effective inclusion. The findings suggest that while the theoretical framework for inclusion is robust, practical implementation requires significant structural support, interdisciplinary collaboration, and specialized training tailored to diverse student needs.</w:t>
      </w:r>
    </w:p>
    <w:bookmarkStart w:id="20" w:name="introduction"/>
    <w:p>
      <w:pPr>
        <w:pStyle w:val="Heading2"/>
      </w:pPr>
      <w:r>
        <w:t xml:space="preserve">1. Introduction</w:t>
      </w:r>
    </w:p>
    <w:p>
      <w:pPr>
        <w:pStyle w:val="FirstParagraph"/>
      </w:pPr>
      <w:r>
        <w:t xml:space="preserve">In recent decades, the concept of special education has undergone a profound transformation globally. In Germany, this shift is encapsulated in the movement toward inclusive education (</w:t>
      </w:r>
      <w:r>
        <w:rPr>
          <w:iCs/>
          <w:i/>
        </w:rPr>
        <w:t xml:space="preserve">Schulische Inklusion</w:t>
      </w:r>
      <w:r>
        <w:t xml:space="preserve">). Historically, students with disabilities were educated in separate institutions (</w:t>
      </w:r>
    </w:p>
    <w:p>
      <w:pPr>
        <w:pStyle w:val="BodyText"/>
      </w:pPr>
      <w:r>
        <w:t xml:space="preserve">Förderschulen). However, following the ratification of the United Nations Convention on the Rights of Persons with Disabilities (UN-CRPD) and subsequent reforms in German federal law, there has been a concerted effort to integrate these students into regular schools. This transition places a unique demand on the</w:t>
      </w:r>
      <w:r>
        <w:t xml:space="preserve"> </w:t>
      </w:r>
      <w:r>
        <w:rPr>
          <w:bCs/>
          <w:b/>
        </w:rPr>
        <w:t xml:space="preserve">Special Education Teacher</w:t>
      </w:r>
      <w:r>
        <w:t xml:space="preserve">, who must now serve as both an expert in disability support and a collaborator within mainstream classrooms.</w:t>
      </w:r>
    </w:p>
    <w:p>
      <w:pPr>
        <w:pStyle w:val="BodyText"/>
      </w:pPr>
      <w:r>
        <w:rPr>
          <w:bCs/>
          <w:b/>
        </w:rPr>
        <w:t xml:space="preserve">Germany Frankfurt</w:t>
      </w:r>
      <w:r>
        <w:t xml:space="preserve">, as one of the country’s largest financial hubs and most diverse metropolitan areas, presents a microcosm of these national trends. The city’s dynamic demographic landscape, characterized by high population density and significant multicultural diversity, complicates the educational environment. Consequently, understanding how</w:t>
      </w:r>
      <w:r>
        <w:t xml:space="preserve"> </w:t>
      </w:r>
      <w:r>
        <w:rPr>
          <w:bCs/>
          <w:b/>
        </w:rPr>
        <w:t xml:space="preserve">Special Education Teachers</w:t>
      </w:r>
      <w:r>
        <w:t xml:space="preserve"> </w:t>
      </w:r>
      <w:r>
        <w:t xml:space="preserve">operate in this specific locale provides critical insights into the broader challenges facing inclusive education in urban Germany.</w:t>
      </w:r>
    </w:p>
    <w:bookmarkEnd w:id="20"/>
    <w:bookmarkStart w:id="21" w:name="X46065508cdce3d414f1b1f1a124cfe23c59ddc2"/>
    <w:p>
      <w:pPr>
        <w:pStyle w:val="Heading2"/>
      </w:pPr>
      <w:r>
        <w:t xml:space="preserve">2. Legal and Structural Framework in Germany</w:t>
      </w:r>
    </w:p>
    <w:p>
      <w:pPr>
        <w:pStyle w:val="FirstParagraph"/>
      </w:pPr>
      <w:r>
        <w:t xml:space="preserve">The legal basis for inclusive education in Germany is rooted in Article 7 of the Hessian School Act (</w:t>
      </w:r>
      <w:r>
        <w:rPr>
          <w:iCs/>
          <w:i/>
        </w:rPr>
        <w:t xml:space="preserve">Hessisches Schulgesetz</w:t>
      </w:r>
      <w:r>
        <w:t xml:space="preserve">) and supported by federal guidelines. In</w:t>
      </w:r>
      <w:r>
        <w:t xml:space="preserve"> </w:t>
      </w:r>
      <w:r>
        <w:rPr>
          <w:bCs/>
          <w:b/>
        </w:rPr>
        <w:t xml:space="preserve">Germany Frankfurt</w:t>
      </w:r>
      <w:r>
        <w:t xml:space="preserve">, which lies within the state of Hesse, schools are mandated to develop inclusion concepts that accommodate students with varying degrees of need. The role of the</w:t>
      </w:r>
      <w:r>
        <w:t xml:space="preserve"> </w:t>
      </w:r>
      <w:r>
        <w:rPr>
          <w:bCs/>
          <w:b/>
        </w:rPr>
        <w:t xml:space="preserve">Special Education Teacher</w:t>
      </w:r>
      <w:r>
        <w:t xml:space="preserve"> </w:t>
      </w:r>
      <w:r>
        <w:t xml:space="preserve">is defined not merely as an isolated specialist but as a partner to general education teachers.</w:t>
      </w:r>
    </w:p>
    <w:p>
      <w:pPr>
        <w:pStyle w:val="BodyText"/>
      </w:pPr>
      <w:r>
        <w:t xml:space="preserve">Unlike the previous model where special needs were addressed in separate facilities, the current system requires co-teaching models (</w:t>
      </w:r>
      <w:r>
        <w:rPr>
          <w:iCs/>
          <w:i/>
        </w:rPr>
        <w:t xml:space="preserve">Ko-Teaching</w:t>
      </w:r>
      <w:r>
        <w:t xml:space="preserve">). This demands that the special education teacher possesses strong interpersonal skills to negotiate curricular adjustments and behavioral strategies with colleagues who may lack specialized training. The structural challenge lies in resource allocation; while the mandate for inclusion is clear, the availability of additional funding and personnel in Frankfurt’s public schools often lags behind demand, leading to high caseloads for special educators.</w:t>
      </w:r>
    </w:p>
    <w:bookmarkEnd w:id="21"/>
    <w:bookmarkStart w:id="24" w:name="the-urban-context-frankfurt-am-main"/>
    <w:p>
      <w:pPr>
        <w:pStyle w:val="Heading2"/>
      </w:pPr>
      <w:r>
        <w:t xml:space="preserve">3. The Urban Context: Frankfurt am Main</w:t>
      </w:r>
    </w:p>
    <w:p>
      <w:pPr>
        <w:pStyle w:val="FirstParagraph"/>
      </w:pPr>
      <w:r>
        <w:t xml:space="preserve">Frankfurt am Main offers a distinct context for the practice of special education. As a global city with a large migrant population, Frankfurt schools are highly multicultural. For the</w:t>
      </w:r>
      <w:r>
        <w:t xml:space="preserve"> </w:t>
      </w:r>
      <w:r>
        <w:rPr>
          <w:bCs/>
          <w:b/>
        </w:rPr>
        <w:t xml:space="preserve">Special Education Teacher</w:t>
      </w:r>
      <w:r>
        <w:t xml:space="preserve">, this introduces linguistic and cultural dimensions to disability support that are less prevalent in rural areas.</w:t>
      </w:r>
    </w:p>
    <w:bookmarkStart w:id="22" w:name="X5ca309de0d814ba84b0c1cf3abed44040d4d5d0"/>
    <w:p>
      <w:pPr>
        <w:pStyle w:val="Heading3"/>
      </w:pPr>
      <w:r>
        <w:t xml:space="preserve">3.1 Linguistic Diversity and Learning Disabilities</w:t>
      </w:r>
    </w:p>
    <w:p>
      <w:pPr>
        <w:pStyle w:val="FirstParagraph"/>
      </w:pPr>
      <w:r>
        <w:t xml:space="preserve">In Frankfurt, many students diagnosed with learning disabilities or speech impediments are actually experiencing difficulties related to second-language acquisition rather than cognitive impairments. Special education teachers must be adept at distinguishing between language acquisition disorders and genuine special educational needs. This requires proficiency in multiple languages or access to robust translation services and cultural mediators within the school system.</w:t>
      </w:r>
    </w:p>
    <w:bookmarkEnd w:id="22"/>
    <w:bookmarkStart w:id="23" w:name="socioeconomic-factors"/>
    <w:p>
      <w:pPr>
        <w:pStyle w:val="Heading3"/>
      </w:pPr>
      <w:r>
        <w:t xml:space="preserve">3.2 Socioeconomic Factors</w:t>
      </w:r>
    </w:p>
    <w:p>
      <w:pPr>
        <w:pStyle w:val="FirstParagraph"/>
      </w:pPr>
      <w:r>
        <w:t xml:space="preserve">The city exhibits significant socioeconomic disparities between its affluent districts and areas with higher concentrations of social challenges. The</w:t>
      </w:r>
      <w:r>
        <w:t xml:space="preserve"> </w:t>
      </w:r>
      <w:r>
        <w:rPr>
          <w:bCs/>
          <w:b/>
        </w:rPr>
        <w:t xml:space="preserve">Special Education Teacher</w:t>
      </w:r>
      <w:r>
        <w:t xml:space="preserve"> </w:t>
      </w:r>
      <w:r>
        <w:t xml:space="preserve">in Frankfurt often operates at the intersection of educational support and social work, addressing issues such as poverty, family instability, and trauma that impact learning outcomes. This holistic approach is essential but adds to the professional burden placed on these educators.</w:t>
      </w:r>
    </w:p>
    <w:bookmarkEnd w:id="23"/>
    <w:bookmarkEnd w:id="24"/>
    <w:bookmarkStart w:id="25" w:name="professional-competencies-and-challenges"/>
    <w:p>
      <w:pPr>
        <w:pStyle w:val="Heading2"/>
      </w:pPr>
      <w:r>
        <w:t xml:space="preserve">4. Professional Competencies and Challenges</w:t>
      </w:r>
    </w:p>
    <w:p>
      <w:pPr>
        <w:pStyle w:val="FirstParagraph"/>
      </w:pPr>
      <w:r>
        <w:t xml:space="preserve">To effectively navigate this landscape, the</w:t>
      </w:r>
      <w:r>
        <w:t xml:space="preserve"> </w:t>
      </w:r>
      <w:r>
        <w:rPr>
          <w:bCs/>
          <w:b/>
        </w:rPr>
        <w:t xml:space="preserve">Special Education Teacher</w:t>
      </w:r>
      <w:r>
        <w:t xml:space="preserve"> </w:t>
      </w:r>
      <w:r>
        <w:t xml:space="preserve">in Frankfurt must cultivate a specific set of competencies:</w:t>
      </w:r>
    </w:p>
    <w:p>
      <w:pPr>
        <w:numPr>
          <w:ilvl w:val="0"/>
          <w:numId w:val="1001"/>
        </w:numPr>
        <w:pStyle w:val="Compact"/>
      </w:pPr>
      <w:r>
        <w:rPr>
          <w:bCs/>
          <w:b/>
        </w:rPr>
        <w:t xml:space="preserve">Pedagogical Flexibility:</w:t>
      </w:r>
      <w:r>
        <w:t xml:space="preserve">The ability to adapt standardized curricula to individual learning styles without compromising educational standards.</w:t>
      </w:r>
    </w:p>
    <w:p>
      <w:pPr>
        <w:numPr>
          <w:ilvl w:val="0"/>
          <w:numId w:val="1001"/>
        </w:numPr>
        <w:pStyle w:val="Compact"/>
      </w:pPr>
      <w:r>
        <w:rPr>
          <w:bCs/>
          <w:b/>
        </w:rPr>
        <w:t xml:space="preserve">Digital Literacy:</w:t>
      </w:r>
      <w:r>
        <w:t xml:space="preserve">Familiarity with assistive technologies that support students with physical, sensory, or cognitive impairments.</w:t>
      </w:r>
    </w:p>
    <w:p>
      <w:pPr>
        <w:numPr>
          <w:ilvl w:val="0"/>
          <w:numId w:val="1001"/>
        </w:numPr>
        <w:pStyle w:val="Compact"/>
      </w:pPr>
      <w:r>
        <w:rPr>
          <w:bCs/>
          <w:b/>
        </w:rPr>
        <w:t xml:space="preserve">Interdisciplinary Collaboration:</w:t>
      </w:r>
      <w:r>
        <w:t xml:space="preserve">Working closely with school psychologists, speech therapists, and social workers in Frankfurt’s integrated support networks.</w:t>
      </w:r>
    </w:p>
    <w:p>
      <w:pPr>
        <w:pStyle w:val="FirstParagraph"/>
      </w:pPr>
      <w:r>
        <w:t xml:space="preserve">However significant challenges persist. Burnout is a growing concern among special education professionals in Germany. The emotional labor of supporting vulnerable students, combined with bureaucratic administrative duties required for funding approvals (</w:t>
      </w:r>
      <w:r>
        <w:rPr>
          <w:iCs/>
          <w:i/>
        </w:rPr>
        <w:t xml:space="preserve">Förderpläne</w:t>
      </w:r>
      <w:r>
        <w:t xml:space="preserve">), leads to high stress levels. Furthermore, the lack of consistent training for general education teachers means that the special educator often bears the disproportionate burden of implementing inclusive strategies alone.</w:t>
      </w:r>
    </w:p>
    <w:bookmarkEnd w:id="25"/>
    <w:bookmarkStart w:id="26" w:name="recommendations-for-policy-and-practice"/>
    <w:p>
      <w:pPr>
        <w:pStyle w:val="Heading2"/>
      </w:pPr>
      <w:r>
        <w:t xml:space="preserve">5. Recommendations for Policy and Practice</w:t>
      </w:r>
    </w:p>
    <w:p>
      <w:pPr>
        <w:pStyle w:val="FirstParagraph"/>
      </w:pPr>
      <w:r>
        <w:t xml:space="preserve">To enhance the effectiveness of special education in</w:t>
      </w:r>
      <w:r>
        <w:t xml:space="preserve"> </w:t>
      </w:r>
      <w:r>
        <w:rPr>
          <w:bCs/>
          <w:b/>
        </w:rPr>
        <w:t xml:space="preserve">Germany Frankfurt</w:t>
      </w:r>
      <w:r>
        <w:t xml:space="preserve">, several recommendations are proposed:</w:t>
      </w:r>
    </w:p>
    <w:p>
      <w:pPr>
        <w:numPr>
          <w:ilvl w:val="0"/>
          <w:numId w:val="1002"/>
        </w:numPr>
        <w:pStyle w:val="Compact"/>
      </w:pPr>
      <w:r>
        <w:rPr>
          <w:bCs/>
          <w:b/>
        </w:rPr>
        <w:t xml:space="preserve">Increased Resource Allocation:</w:t>
      </w:r>
      <w:r>
        <w:t xml:space="preserve">Municipal authorities must ensure that schools have sufficient staffing ratios to allow for meaningful co-teaching rather than mere supervision.</w:t>
      </w:r>
    </w:p>
    <w:p>
      <w:pPr>
        <w:numPr>
          <w:ilvl w:val="0"/>
          <w:numId w:val="1002"/>
        </w:numPr>
        <w:pStyle w:val="Compact"/>
      </w:pPr>
      <w:r>
        <w:rPr>
          <w:bCs/>
          <w:b/>
        </w:rPr>
        <w:t xml:space="preserve">Specialized Training Programs:</w:t>
      </w:r>
      <w:r>
        <w:t xml:space="preserve">University programs for special education teachers should include mandatory modules on multicultural competency and trauma-informed care, reflecting the specific demographics of Frankfurt.</w:t>
      </w:r>
    </w:p>
    <w:p>
      <w:pPr>
        <w:numPr>
          <w:ilvl w:val="0"/>
          <w:numId w:val="1002"/>
        </w:numPr>
        <w:pStyle w:val="Compact"/>
      </w:pPr>
      <w:r>
        <w:rPr>
          <w:bCs/>
          <w:b/>
        </w:rPr>
        <w:t xml:space="preserve">Digital Infrastructure Investment:</w:t>
      </w:r>
      <w:r>
        <w:t xml:space="preserve">Investment in assistive technology platforms can streamline documentation and personalize learning plans, reducing administrative burdens.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Germany Frankfurt</w:t>
      </w:r>
      <w:r>
        <w:br/>
      </w:r>
      <w:r>
        <w:t xml:space="preserve">is pivotal to the success of inclusive education. While the legal framework supports integration, the practical reality requires nuanced strategies that address linguistic, cultural, and socioeconomic complexities. By recognizing Frankfurt as a unique urban laboratory for inclusion, stakeholders can develop targeted interventions that benefit not only students with disabilities but also enhance educational quality for all learners. Future research should focus on longitudinal studies of student outcomes in Frankfurt’s inclusive schools to refine best practices.</w:t>
      </w:r>
    </w:p>
    <w:bookmarkEnd w:id="27"/>
    <w:bookmarkStart w:id="28"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3"/>
        </w:numPr>
        <w:pStyle w:val="Compact"/>
      </w:pPr>
      <w:r>
        <w:t xml:space="preserve">Bundesministerium für Bildung und Forschung. (2019).</w:t>
      </w:r>
      <w:r>
        <w:t xml:space="preserve"> </w:t>
      </w:r>
      <w:r>
        <w:rPr>
          <w:bCs/>
          <w:b/>
        </w:rPr>
        <w:t xml:space="preserve">Inclusion in Germany: Current Status and Future Perspectives</w:t>
      </w:r>
      <w:r>
        <w:t xml:space="preserve">. Berlin: BMBF Press.</w:t>
      </w:r>
    </w:p>
    <w:p>
      <w:pPr>
        <w:numPr>
          <w:ilvl w:val="0"/>
          <w:numId w:val="1003"/>
        </w:numPr>
        <w:pStyle w:val="Compact"/>
      </w:pPr>
      <w:r>
        <w:t xml:space="preserve">Deutsches Institut für Menschenrechte. (2021).</w:t>
      </w:r>
      <w:r>
        <w:t xml:space="preserve"> </w:t>
      </w:r>
      <w:r>
        <w:rPr>
          <w:bCs/>
          <w:b/>
        </w:rPr>
        <w:t xml:space="preserve">The Implementation of the UN-CRPD in German Schools</w:t>
      </w:r>
      <w:r>
        <w:t xml:space="preserve">. Berlin: DIMR Publications.</w:t>
      </w:r>
    </w:p>
    <w:p>
      <w:pPr>
        <w:numPr>
          <w:ilvl w:val="0"/>
          <w:numId w:val="1003"/>
        </w:numPr>
        <w:pStyle w:val="Compact"/>
      </w:pPr>
      <w:r>
        <w:t xml:space="preserve">Gewerkschaft Erziehung und Wissenschaft (GEW). (2023).</w:t>
      </w:r>
      <w:r>
        <w:t xml:space="preserve"> </w:t>
      </w:r>
      <w:r>
        <w:rPr>
          <w:bCs/>
          <w:b/>
        </w:rPr>
        <w:t xml:space="preserve">Report on Working Conditions of Special Education Teachers in Hesse</w:t>
      </w:r>
      <w:r>
        <w:t xml:space="preserve">. Frankfurt: GEW Landesverband Hessen.</w:t>
      </w:r>
    </w:p>
    <w:p>
      <w:pPr>
        <w:numPr>
          <w:ilvl w:val="0"/>
          <w:numId w:val="1003"/>
        </w:numPr>
        <w:pStyle w:val="Compact"/>
      </w:pPr>
      <w:r>
        <w:t xml:space="preserve">Hessisches Kultusministerium. (2020).</w:t>
      </w:r>
      <w:r>
        <w:t xml:space="preserve"> </w:t>
      </w:r>
      <w:r>
        <w:rPr>
          <w:iCs/>
          <w:i/>
        </w:rPr>
        <w:t xml:space="preserve">Hessisches Schulgesetz</w:t>
      </w:r>
      <w:r>
        <w:t xml:space="preserve"> </w:t>
      </w:r>
      <w:r>
        <w:t xml:space="preserve">mit Änderungen bis 1. September 2023. Wiesbaden: HMWK Verlag.</w:t>
      </w:r>
    </w:p>
    <w:p>
      <w:pPr>
        <w:numPr>
          <w:ilvl w:val="0"/>
          <w:numId w:val="1003"/>
        </w:numPr>
        <w:pStyle w:val="Compact"/>
      </w:pPr>
      <w:r>
        <w:t xml:space="preserve">Kuhl, P., &amp; Müller, S. (2018). "Challenges of Inclusive Education in Urban Centers: The Frankfurt Model."</w:t>
      </w:r>
      <w:r>
        <w:t xml:space="preserve"> </w:t>
      </w:r>
      <w:r>
        <w:rPr>
          <w:bCs/>
          <w:b/>
        </w:rPr>
        <w:t xml:space="preserve">Journal of Special Education Studies</w:t>
      </w:r>
      <w:r>
        <w:t xml:space="preserve">, 45(3), 112-130.</w:t>
      </w:r>
    </w:p>
    <w:p>
      <w:pPr>
        <w:numPr>
          <w:ilvl w:val="0"/>
          <w:numId w:val="1003"/>
        </w:numPr>
        <w:pStyle w:val="Compact"/>
      </w:pPr>
      <w:r>
        <w:t xml:space="preserve">Rolff, H. G. (2022).</w:t>
      </w:r>
      <w:r>
        <w:t xml:space="preserve"> </w:t>
      </w:r>
      <w:r>
        <w:rPr>
          <w:bCs/>
          <w:b/>
        </w:rPr>
        <w:t xml:space="preserve">Sociological Perspectives on Disability and Schooling in Modern Germany</w:t>
      </w:r>
      <w:r>
        <w:t xml:space="preserve">. Stuttgart: Metzler Verlag.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Germany: A Case Study of Frankfurt am Main</dc:title>
  <dc:creator/>
  <dc:language>en</dc:language>
  <cp:keywords/>
  <dcterms:created xsi:type="dcterms:W3CDTF">2026-07-30T03:57:43Z</dcterms:created>
  <dcterms:modified xsi:type="dcterms:W3CDTF">2026-07-30T03:57:43Z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