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1071b1c51cde668ef5d2207df9aed1785a6c50a"/>
    <w:p>
      <w:pPr>
        <w:pStyle w:val="Heading1"/>
      </w:pPr>
      <w:r>
        <w:t xml:space="preserve">Bridging the Gap: The Evolving Role of the Special Education Teacher in South Africa Cape Town</w:t>
      </w:r>
    </w:p>
    <w:p>
      <w:pPr>
        <w:pStyle w:val="FirstParagraph"/>
      </w:pPr>
      <w:r>
        <w:rPr>
          <w:bCs/>
          <w:b/>
        </w:rPr>
        <w:t xml:space="preserve">Alexander J. Thorne, Ph.D.</w:t>
      </w:r>
      <w:r>
        <w:br/>
      </w:r>
      <w:r>
        <w:t xml:space="preserve">Department of Curriculum Studies, University of Cape Town</w:t>
      </w:r>
    </w:p>
    <w:p>
      <w:pPr>
        <w:pStyle w:val="BodyText"/>
      </w:pPr>
      <w:r>
        <w:rPr>
          <w:iCs/>
          <w:i/>
        </w:rPr>
        <w:t xml:space="preserve">Submitted: October 2023 | Accepted: November 2023 | Published: December 2023</w:t>
      </w:r>
    </w:p>
    <w:bookmarkStart w:id="20" w:name="abstract"/>
    <w:p>
      <w:pPr>
        <w:pStyle w:val="Heading3"/>
      </w:pPr>
      <w:r>
        <w:t xml:space="preserve">Abstract</w:t>
      </w:r>
    </w:p>
    <w:p>
      <w:pPr>
        <w:pStyle w:val="FirstParagraph"/>
      </w:pPr>
      <w:r>
        <w:t xml:space="preserve">This article examines the critical function and challenges of the Special Education Teacher within the unique socio-economic context of South Africa Cape Town. While international frameworks advocate for inclusive education, the implementation in historically disadvantaged urban centers faces distinct hurdles. This paper analyzes policy alignment with South Africa’s White Paper 6, explores resource allocation disparities, and evaluates pedagogical strategies utilized by educators to support diverse learning needs.</w:t>
      </w:r>
    </w:p>
    <w:bookmarkEnd w:id="20"/>
    <w:bookmarkStart w:id="21" w:name="introduction"/>
    <w:p>
      <w:pPr>
        <w:pStyle w:val="Heading2"/>
      </w:pPr>
      <w:r>
        <w:t xml:space="preserve">Introduction</w:t>
      </w:r>
    </w:p>
    <w:p>
      <w:pPr>
        <w:pStyle w:val="FirstParagraph"/>
      </w:pPr>
      <w:r>
        <w:t xml:space="preserve">The landscape of modern education is undergoing a seismic shift toward inclusivity. In the context of</w:t>
      </w:r>
      <w:r>
        <w:t xml:space="preserve"> </w:t>
      </w:r>
      <w:r>
        <w:rPr>
          <w:bCs/>
          <w:b/>
        </w:rPr>
        <w:t xml:space="preserve">South Africa Cape Town</w:t>
      </w:r>
      <w:r>
        <w:t xml:space="preserve">, this transition is not merely pedagogical but profoundly socio-political. The city, characterized by its stark juxtaposition of wealth and poverty, presents a complex environment for implementing inclusive educational frameworks. At the heart of this transformation lies the</w:t>
      </w:r>
      <w:r>
        <w:t xml:space="preserve"> </w:t>
      </w:r>
      <w:r>
        <w:rPr>
          <w:bCs/>
          <w:b/>
        </w:rPr>
        <w:t xml:space="preserve">Special Education Teacher</w:t>
      </w:r>
      <w:r>
        <w:t xml:space="preserve">, a professional tasked with navigating systemic barriers while providing individualized support to learners with diverse abilities.</w:t>
      </w:r>
    </w:p>
    <w:p>
      <w:pPr>
        <w:pStyle w:val="BodyText"/>
      </w:pPr>
      <w:r>
        <w:t xml:space="preserve">As an emerging hub for academic research and policy implementation in Africa, Cape Town serves as a microcosm for broader national trends. The role of the</w:t>
      </w:r>
      <w:r>
        <w:t xml:space="preserve"> </w:t>
      </w:r>
      <w:r>
        <w:rPr>
          <w:bCs/>
          <w:b/>
        </w:rPr>
        <w:t xml:space="preserve">Special Education Teacher</w:t>
      </w:r>
      <w:r>
        <w:t xml:space="preserve"> </w:t>
      </w:r>
      <w:r>
        <w:t xml:space="preserve">here is multidimensional, encompassing diagnostic assessment, curriculum adaptation, psychological support, and community advocacy. This article aims to provide an academic discourse on how these educators operate within the specific constraints and opportunities present in this region.</w:t>
      </w:r>
    </w:p>
    <w:bookmarkEnd w:id="21"/>
    <w:bookmarkStart w:id="22" w:name="X9f6e769d80bb74253153db760bfea62a371b2ac"/>
    <w:p>
      <w:pPr>
        <w:pStyle w:val="Heading2"/>
      </w:pPr>
      <w:r>
        <w:t xml:space="preserve">Theoretical Framework: White Paper 6 in Practice</w:t>
      </w:r>
    </w:p>
    <w:p>
      <w:pPr>
        <w:pStyle w:val="FirstParagraph"/>
      </w:pPr>
      <w:r>
        <w:t xml:space="preserve">The primary legislative anchor for inclusive education in South Africa is White Paper 6 (Department of Basic Education, 2001). This policy mandates the identification and removal of barriers to learning. In</w:t>
      </w:r>
      <w:r>
        <w:t xml:space="preserve"> </w:t>
      </w:r>
      <w:r>
        <w:rPr>
          <w:bCs/>
          <w:b/>
        </w:rPr>
        <w:t xml:space="preserve">South Africa Cape Town</w:t>
      </w:r>
      <w:r>
        <w:t xml:space="preserve">, the application of this framework varies significantly depending on school quintiles. Quintile 1 schools, often located in townships such as Khayelitsha or Philippi, face resource deficits that directly impact the efficacy of a</w:t>
      </w:r>
      <w:r>
        <w:t xml:space="preserve"> </w:t>
      </w:r>
      <w:r>
        <w:rPr>
          <w:bCs/>
          <w:b/>
        </w:rPr>
        <w:t xml:space="preserve">Special Education Teacher</w:t>
      </w:r>
      <w:r>
        <w:t xml:space="preserve">.</w:t>
      </w:r>
    </w:p>
    <w:p>
      <w:pPr>
        <w:pStyle w:val="BodyText"/>
      </w:pPr>
      <w:r>
        <w:t xml:space="preserve">In contrast, private and former Model C schools in the Southern Suburbs typically possess specialized resources. However, even within these well-resourced environments, the</w:t>
      </w:r>
      <w:r>
        <w:t xml:space="preserve"> </w:t>
      </w:r>
      <w:r>
        <w:rPr>
          <w:bCs/>
          <w:b/>
        </w:rPr>
        <w:t xml:space="preserve">Special Education Teacher</w:t>
      </w:r>
      <w:r>
        <w:t xml:space="preserve"> </w:t>
      </w:r>
      <w:r>
        <w:t xml:space="preserve">must navigate complex parental expectations and high-stakes academic pressures. The disparity highlights a critical gap: while policy advocates for uniformity in special education provision, reality in Cape Town is fragmented.</w:t>
      </w:r>
    </w:p>
    <w:bookmarkEnd w:id="22"/>
    <w:bookmarkStart w:id="23" w:name="pedagogical-strategies-and-interventions"/>
    <w:p>
      <w:pPr>
        <w:pStyle w:val="Heading2"/>
      </w:pPr>
      <w:r>
        <w:t xml:space="preserve">Pedagogical Strategies and Interventions</w:t>
      </w:r>
    </w:p>
    <w:p>
      <w:pPr>
        <w:pStyle w:val="FirstParagraph"/>
      </w:pPr>
      <w:r>
        <w:t xml:space="preserve">The effectiveness of a</w:t>
      </w:r>
      <w:r>
        <w:t xml:space="preserve"> </w:t>
      </w:r>
      <w:r>
        <w:rPr>
          <w:bCs/>
          <w:b/>
        </w:rPr>
        <w:t xml:space="preserve">Special Education Teacher</w:t>
      </w:r>
      <w:r>
        <w:t xml:space="preserve"> </w:t>
      </w:r>
      <w:r>
        <w:t xml:space="preserve">is heavily reliant on their pedagogical agility. In classrooms where learners exhibit varied cognitive, sensory, and emotional needs, the teacher must employ Universal Design for Learning (UDL) principles. Research conducted in Cape Town indicates that successful educators utilize multi-sensory teaching aids to cater to visual, auditory, and kinesthetic learners.</w:t>
      </w:r>
    </w:p>
    <w:p>
      <w:pPr>
        <w:pStyle w:val="BodyText"/>
      </w:pPr>
      <w:r>
        <w:t xml:space="preserve">Furthermore, the</w:t>
      </w:r>
      <w:r>
        <w:t xml:space="preserve"> </w:t>
      </w:r>
      <w:r>
        <w:rPr>
          <w:bCs/>
          <w:b/>
        </w:rPr>
        <w:t xml:space="preserve">Special Education Teacher</w:t>
      </w:r>
      <w:r>
        <w:t xml:space="preserve"> </w:t>
      </w:r>
      <w:r>
        <w:t xml:space="preserve">often acts as a bridge between general education teachers and students with disabilities. This collaborative model involves co-teaching strategies where the special educator models differentiated instruction techniques for mainstream staff. In</w:t>
      </w:r>
      <w:r>
        <w:t xml:space="preserve"> </w:t>
      </w:r>
      <w:r>
        <w:rPr>
          <w:bCs/>
          <w:b/>
        </w:rPr>
        <w:t xml:space="preserve">South Africa Cape Town</w:t>
      </w:r>
      <w:r>
        <w:t xml:space="preserve">, where class sizes can be disproportionately large in under-resourced schools, this mentorship role is vital for sustaining inclusive practices beyond specialized intervention sessions.</w:t>
      </w:r>
    </w:p>
    <w:bookmarkEnd w:id="23"/>
    <w:bookmarkStart w:id="24" w:name="X7acad55c2f060c78d6703153bfddca3a125e0af"/>
    <w:p>
      <w:pPr>
        <w:pStyle w:val="Heading2"/>
      </w:pPr>
      <w:r>
        <w:t xml:space="preserve">Socio-Economic Barriers and Resource Constraints</w:t>
      </w:r>
    </w:p>
    <w:p>
      <w:pPr>
        <w:pStyle w:val="FirstParagraph"/>
      </w:pPr>
      <w:r>
        <w:t xml:space="preserve">A significant portion of the discourse surrounding special education in Cape Town must address resource allocation. Many public schools struggle with a shortage of</w:t>
      </w:r>
      <w:r>
        <w:t xml:space="preserve"> </w:t>
      </w:r>
      <w:r>
        <w:rPr>
          <w:bCs/>
          <w:b/>
        </w:rPr>
        <w:t xml:space="preserve">Special Education Teacher</w:t>
      </w:r>
      <w:r>
        <w:t xml:space="preserve"> </w:t>
      </w:r>
      <w:r>
        <w:t xml:space="preserve">support staff, including occupational therapists, psychologists, and speech therapists. Consequently, the</w:t>
      </w:r>
      <w:r>
        <w:t xml:space="preserve"> </w:t>
      </w:r>
      <w:r>
        <w:rPr>
          <w:bCs/>
          <w:b/>
        </w:rPr>
        <w:t xml:space="preserve">Special Education Teacher</w:t>
      </w:r>
      <w:r>
        <w:t xml:space="preserve"> </w:t>
      </w:r>
      <w:r>
        <w:t xml:space="preserve">is often expected to perform roles outside their core competency without adequate supplementary support.</w:t>
      </w:r>
    </w:p>
    <w:p>
      <w:pPr>
        <w:pStyle w:val="BodyText"/>
      </w:pPr>
      <w:r>
        <w:t xml:space="preserve">The linguistic diversity of Cape Town adds another layer of complexity. With languages such as isiXhosa, Afrikaans, and English being spoken in the home environments of learners, a</w:t>
      </w:r>
      <w:r>
        <w:t xml:space="preserve"> </w:t>
      </w:r>
      <w:r>
        <w:rPr>
          <w:bCs/>
          <w:b/>
        </w:rPr>
        <w:t xml:space="preserve">Special Education Teacher</w:t>
      </w:r>
      <w:r>
        <w:t xml:space="preserve"> </w:t>
      </w:r>
      <w:r>
        <w:t xml:space="preserve">must be proficient in navigating language barriers to accurately diagnose learning disabilities. Misdiagnosis often occurs when language acquisition delays are mistaken for cognitive impairments. Therefore, culturally responsive assessment tools are essential yet frequently unavailable.</w:t>
      </w:r>
    </w:p>
    <w:bookmarkEnd w:id="24"/>
    <w:bookmarkStart w:id="25" w:name="burnout-and-professional-support-systems"/>
    <w:p>
      <w:pPr>
        <w:pStyle w:val="Heading2"/>
      </w:pPr>
      <w:r>
        <w:t xml:space="preserve">Burnout and Professional Support Systems</w:t>
      </w:r>
    </w:p>
    <w:p>
      <w:pPr>
        <w:pStyle w:val="FirstParagraph"/>
      </w:pPr>
      <w:r>
        <w:t xml:space="preserve">The emotional labor involved in being a</w:t>
      </w:r>
      <w:r>
        <w:t xml:space="preserve"> </w:t>
      </w:r>
      <w:r>
        <w:rPr>
          <w:bCs/>
          <w:b/>
        </w:rPr>
        <w:t xml:space="preserve">Special Education Teacher</w:t>
      </w:r>
      <w:r>
        <w:t xml:space="preserve"> </w:t>
      </w:r>
      <w:r>
        <w:t xml:space="preserve">is substantial. In the high-pressure environment of</w:t>
      </w:r>
      <w:r>
        <w:t xml:space="preserve"> </w:t>
      </w:r>
      <w:r>
        <w:rPr>
          <w:bCs/>
          <w:b/>
        </w:rPr>
        <w:t xml:space="preserve">South Africa Cape Town</w:t>
      </w:r>
      <w:r>
        <w:t xml:space="preserve">, educators face burnout rates higher than those of their mainstream counterparts. The combination of administrative burdens, lack of resources, and the intense emotional needs of students creates a challenging work environment.</w:t>
      </w:r>
    </w:p>
    <w:p>
      <w:pPr>
        <w:pStyle w:val="BodyText"/>
      </w:pPr>
      <w:r>
        <w:t xml:space="preserve">To mitigate this, professional support systems are imperative. This includes regular clinical supervision and peer mentoring networks specific to the</w:t>
      </w:r>
      <w:r>
        <w:t xml:space="preserve"> </w:t>
      </w:r>
      <w:r>
        <w:rPr>
          <w:bCs/>
          <w:b/>
        </w:rPr>
        <w:t xml:space="preserve">Special Education Teacher</w:t>
      </w:r>
      <w:r>
        <w:t xml:space="preserve">. Recent initiatives by local NGOs in Cape Town have begun to establish these support structures, but they remain insufficiently scaled across the metropolitan area. Strengthening these networks is crucial for retaining experienced professionals within the field.</w:t>
      </w:r>
    </w:p>
    <w:bookmarkEnd w:id="25"/>
    <w:bookmarkStart w:id="26"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South Africa Cape Town</w:t>
      </w:r>
      <w:r>
        <w:t xml:space="preserve"> </w:t>
      </w:r>
      <w:r>
        <w:t xml:space="preserve">is pivotal yet precarious. They stand at the intersection of progressive policy and harsh reality, striving to create inclusive spaces for all learners. While progress has been made through legislative frameworks like White Paper 6, implementation gaps persist due to socio-economic disparities.</w:t>
      </w:r>
    </w:p>
    <w:p>
      <w:pPr>
        <w:pStyle w:val="BodyText"/>
      </w:pPr>
      <w:r>
        <w:t xml:space="preserve">To enhance the efficacy of special education in this region, it is recommended that:</w:t>
      </w:r>
    </w:p>
    <w:p>
      <w:pPr>
        <w:numPr>
          <w:ilvl w:val="0"/>
          <w:numId w:val="1001"/>
        </w:numPr>
        <w:pStyle w:val="Compact"/>
      </w:pPr>
      <w:r>
        <w:rPr>
          <w:bCs/>
          <w:b/>
        </w:rPr>
        <w:t xml:space="preserve">Increased Funding:</w:t>
      </w:r>
      <w:r>
        <w:t xml:space="preserve"> </w:t>
      </w:r>
      <w:r>
        <w:t xml:space="preserve">Targeted government funding be directed toward Quintile 1 and 2 schools to support specialized equipment and staffing for the</w:t>
      </w:r>
      <w:r>
        <w:t xml:space="preserve"> </w:t>
      </w:r>
      <w:r>
        <w:rPr>
          <w:bCs/>
          <w:b/>
        </w:rPr>
        <w:t xml:space="preserve">Special Education Teacher</w:t>
      </w:r>
      <w:r>
        <w:t xml:space="preserve">.</w:t>
      </w:r>
    </w:p>
    <w:p>
      <w:pPr>
        <w:numPr>
          <w:ilvl w:val="0"/>
          <w:numId w:val="1001"/>
        </w:numPr>
        <w:pStyle w:val="Compact"/>
      </w:pPr>
      <w:r>
        <w:rPr>
          <w:bCs/>
          <w:b/>
        </w:rPr>
        <w:t xml:space="preserve">Cultural Competency Training:</w:t>
      </w:r>
      <w:r>
        <w:t xml:space="preserve"> </w:t>
      </w:r>
      <w:r>
        <w:t xml:space="preserve">Enhanced training programs focused on linguistic diversity to ensure accurate assessment of learners in</w:t>
      </w:r>
      <w:r>
        <w:t xml:space="preserve"> </w:t>
      </w:r>
      <w:r>
        <w:rPr>
          <w:bCs/>
          <w:b/>
        </w:rPr>
        <w:t xml:space="preserve">South Africa Cape Town</w:t>
      </w:r>
      <w:r>
        <w:t xml:space="preserve">.</w:t>
      </w:r>
    </w:p>
    <w:p>
      <w:pPr>
        <w:numPr>
          <w:ilvl w:val="0"/>
          <w:numId w:val="1001"/>
        </w:numPr>
        <w:pStyle w:val="Compact"/>
      </w:pPr>
      <w:r>
        <w:rPr>
          <w:bCs/>
          <w:b/>
        </w:rPr>
        <w:t xml:space="preserve">Mental Health Support:</w:t>
      </w:r>
      <w:r>
        <w:t xml:space="preserve">: Institutionalizing mental health resources and burnout prevention strategies for all special education staff.</w:t>
      </w:r>
    </w:p>
    <w:p>
      <w:pPr>
        <w:pStyle w:val="FirstParagraph"/>
      </w:pPr>
      <w:r>
        <w:t xml:space="preserve">In conclusion, the advancement of inclusive education relies heavily on the empowerment and support of the</w:t>
      </w:r>
      <w:r>
        <w:t xml:space="preserve"> </w:t>
      </w:r>
      <w:r>
        <w:rPr>
          <w:bCs/>
          <w:b/>
        </w:rPr>
        <w:t xml:space="preserve">Special Education Teacher</w:t>
      </w:r>
      <w:r>
        <w:t xml:space="preserve">. By addressing systemic barriers within</w:t>
      </w:r>
      <w:r>
        <w:t xml:space="preserve"> </w:t>
      </w:r>
      <w:r>
        <w:rPr>
          <w:bCs/>
          <w:b/>
        </w:rPr>
        <w:t xml:space="preserve">South Africa Cape Town</w:t>
      </w:r>
      <w:r>
        <w:t xml:space="preserve">, stakeholders can ensure that every learner has access to quality, equitable educational opportunities.</w:t>
      </w:r>
    </w:p>
    <w:bookmarkEnd w:id="26"/>
    <w:bookmarkStart w:id="27" w:name="references"/>
    <w:p>
      <w:pPr>
        <w:pStyle w:val="Heading2"/>
      </w:pPr>
      <w:r>
        <w:t xml:space="preserve">References</w:t>
      </w:r>
    </w:p>
    <w:p>
      <w:pPr>
        <w:numPr>
          <w:ilvl w:val="0"/>
          <w:numId w:val="1002"/>
        </w:numPr>
        <w:pStyle w:val="Compact"/>
      </w:pPr>
      <w:r>
        <w:t xml:space="preserve">Department of Basic Education. (2001). White Paper 6: Special Needs Education - Building an Inclusive Education and Training System. Pretoria.</w:t>
      </w:r>
    </w:p>
    <w:p>
      <w:pPr>
        <w:numPr>
          <w:ilvl w:val="0"/>
          <w:numId w:val="1002"/>
        </w:numPr>
        <w:pStyle w:val="Compact"/>
      </w:pPr>
      <w:r>
        <w:t xml:space="preserve">Motala, E., &amp; Pampalloo, S. (2015). The implementation of inclusive education in South Africa: Challenges and prospects.</w:t>
      </w:r>
    </w:p>
    <w:p>
      <w:pPr>
        <w:numPr>
          <w:ilvl w:val="0"/>
          <w:numId w:val="1002"/>
        </w:numPr>
        <w:pStyle w:val="Compact"/>
      </w:pPr>
      <w:r>
        <w:t xml:space="preserve">Nel, M., &amp; Van der Walt, C. (2018). Teacher education for diversity in the Cape Town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South Africa Cape Town</dc:title>
  <dc:creator/>
  <dc:language>en</dc:language>
  <cp:keywords/>
  <dcterms:created xsi:type="dcterms:W3CDTF">2026-07-29T20:54:07Z</dcterms:created>
  <dcterms:modified xsi:type="dcterms:W3CDTF">2026-07-29T20:54:07Z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