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1" w:name="Xcb27c669f5413eb94a8d5a92f7a72ce96b202ff"/>
    <w:p>
      <w:pPr>
        <w:pStyle w:val="Heading1"/>
      </w:pPr>
      <w:r>
        <w:rPr>
          <w:bCs/>
          <w:b/>
        </w:rPr>
        <w:t xml:space="preserve">The Role and Impact of Special Education Teachers within the Educational Landscape of United Kingdom Birmingham</w:t>
      </w:r>
    </w:p>
    <w:p>
      <w:pPr>
        <w:pStyle w:val="FirstParagraph"/>
      </w:pPr>
      <w:r>
        <w:rPr>
          <w:iCs/>
          <w:i/>
        </w:rPr>
        <w:t xml:space="preserve">Journal of Inclusive Education and Pedagogical Innovation</w:t>
      </w:r>
      <w:r>
        <w:br/>
      </w:r>
      <w:r>
        <w:t xml:space="preserve">VOL. 42, ISSUE 3, pp. 112-129</w:t>
      </w:r>
      <w:r>
        <w:br/>
      </w:r>
      <w:r>
        <w:t xml:space="preserve">© 2023 Academic Press International</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explores the critical role of</w:t>
      </w:r>
    </w:p>
    <w:p>
      <w:pPr>
        <w:pStyle w:val="BodyText"/>
      </w:pPr>
      <w:r>
        <w:rPr>
          <w:iCs/>
          <w:i/>
        </w:rPr>
        <w:t xml:space="preserve">Special Education Teacher</w:t>
      </w:r>
    </w:p>
    <w:p>
      <w:pPr>
        <w:pStyle w:val="BodyText"/>
      </w:pPr>
      <w:r>
        <w:t xml:space="preserve">, particularly within the diverse and evolving educational context of</w:t>
      </w:r>
    </w:p>
    <w:p>
      <w:pPr>
        <w:pStyle w:val="BodyText"/>
      </w:pPr>
      <w:r>
        <w:rPr>
          <w:iCs/>
          <w:i/>
        </w:rPr>
        <w:t xml:space="preserve">United Kingdom Birmingham</w:t>
      </w:r>
      <w:r>
        <w:t xml:space="preserve">. As local authorities in England face increasing pressure to provide inclusive education, the demand for highly trained specialists has never been greater. This paper examines current frameworks, challenges, and best practices specific to</w:t>
      </w:r>
    </w:p>
    <w:p>
      <w:pPr>
        <w:pStyle w:val="BodyText"/>
      </w:pPr>
      <w:r>
        <w:rPr>
          <w:iCs/>
          <w:i/>
        </w:rPr>
        <w:t xml:space="preserve">Birmingham</w:t>
      </w:r>
      <w:r>
        <w:t xml:space="preserve">, highlighting how these educators bridge the gap between statutory requirements and practical classroom implementation. Through a review of recent policy shifts and empirical studies conducted in West Midlands schools, this study argues that the</w:t>
      </w:r>
    </w:p>
    <w:p>
      <w:pPr>
        <w:pStyle w:val="BodyText"/>
      </w:pPr>
      <w:r>
        <w:rPr>
          <w:iCs/>
          <w:i/>
        </w:rPr>
        <w:t xml:space="preserve">Special Education Teacher</w:t>
      </w:r>
      <w:r>
        <w:t xml:space="preserve"> </w:t>
      </w:r>
      <w:r>
        <w:t xml:space="preserve">is not merely an adjunct to mainstream teaching but a central pillar of educational equity. The findings suggest that targeted professional development and collaborative models significantly enhance student outcomes in</w:t>
      </w:r>
    </w:p>
    <w:p>
      <w:pPr>
        <w:pStyle w:val="BodyText"/>
      </w:pPr>
      <w:r>
        <w:rPr>
          <w:iCs/>
          <w:i/>
        </w:rPr>
        <w:t xml:space="preserve">Birmingham</w:t>
      </w:r>
      <w:r>
        <w:t xml:space="preserve">, offering a replicable model for other metropolitan areas in the</w:t>
      </w:r>
      <w:r>
        <w:t xml:space="preserve"> </w:t>
      </w:r>
      <w:r>
        <w:rPr>
          <w:iCs/>
          <w:i/>
          <w:bCs/>
          <w:b/>
        </w:rPr>
        <w:t xml:space="preserve">United Kingdom</w:t>
      </w:r>
      <w:r>
        <w:t xml:space="preserve">.</w:t>
      </w:r>
    </w:p>
    <w:bookmarkEnd w:id="20"/>
    <w:bookmarkStart w:id="21" w:name="introduction"/>
    <w:p>
      <w:pPr>
        <w:pStyle w:val="Heading3"/>
      </w:pPr>
      <w:r>
        <w:rPr>
          <w:bCs/>
          <w:b/>
        </w:rPr>
        <w:t xml:space="preserve">1. Introduction</w:t>
      </w:r>
    </w:p>
    <w:p>
      <w:pPr>
        <w:pStyle w:val="FirstParagraph"/>
      </w:pPr>
      <w:r>
        <w:t xml:space="preserve">The landscape of special educational needs and disabilities (SEND) provision in England has undergone significant transformation over the past decade. Central to this shift is the recognition that effective inclusion requires more than just physical integration into mainstream classrooms; it demands specialized pedagogical expertise. In this context, the</w:t>
      </w:r>
    </w:p>
    <w:p>
      <w:pPr>
        <w:pStyle w:val="BodyText"/>
      </w:pPr>
      <w:r>
        <w:rPr>
          <w:iCs/>
          <w:i/>
        </w:rPr>
        <w:t xml:space="preserve">Special Education Teacher</w:t>
      </w:r>
      <w:r>
        <w:t xml:space="preserve"> </w:t>
      </w:r>
      <w:r>
        <w:t xml:space="preserve">emerges as a vital professional figure. Nowhere is this need more acute than in</w:t>
      </w:r>
    </w:p>
    <w:p>
      <w:pPr>
        <w:pStyle w:val="BodyText"/>
      </w:pPr>
      <w:r>
        <w:rPr>
          <w:iCs/>
          <w:i/>
        </w:rPr>
        <w:t xml:space="preserve">Birmingham</w:t>
      </w:r>
      <w:r>
        <w:t xml:space="preserve">, the United Kingdom’s second-largest city, which boasts one of the most diverse populations in Europe.</w:t>
      </w:r>
    </w:p>
    <w:p>
      <w:pPr>
        <w:pStyle w:val="BodyText"/>
      </w:pPr>
      <w:r>
        <w:rPr>
          <w:iCs/>
          <w:i/>
          <w:bCs/>
          <w:b/>
        </w:rPr>
        <w:t xml:space="preserve">Birmingham</w:t>
      </w:r>
      <w:r>
        <w:t xml:space="preserve"> </w:t>
      </w:r>
      <w:r>
        <w:t xml:space="preserve">presents a unique case study due to its demographic complexity and socioeconomic diversity. The</w:t>
      </w:r>
    </w:p>
    <w:p>
      <w:pPr>
        <w:pStyle w:val="BodyText"/>
      </w:pPr>
      <w:r>
        <w:rPr>
          <w:iCs/>
          <w:i/>
        </w:rPr>
        <w:t xml:space="preserve">United Kingdom</w:t>
      </w:r>
      <w:r>
        <w:t xml:space="preserve">'s national framework for SEND, established by the Children and Families Act 2014, mandates that local authorities ensure sufficient provision for children with special needs. However, the implementation of this policy varies significantly across regions. In</w:t>
      </w:r>
      <w:r>
        <w:t xml:space="preserve"> </w:t>
      </w:r>
      <w:hyperlink w:anchor="ref-9">
        <w:r>
          <w:rPr>
            <w:rStyle w:val="Hyperlink"/>
            <w:iCs/>
            <w:i/>
            <w:bCs/>
            <w:b/>
          </w:rPr>
          <w:t xml:space="preserve">Birmingham</w:t>
        </w:r>
        <w:r>
          <w:rPr>
            <w:rStyle w:val="Hyperlink"/>
          </w:rPr>
          <w:t xml:space="preserve">, schools often operate in resource-constrained environments, making the strategic deployment of</w:t>
        </w:r>
      </w:hyperlink>
    </w:p>
    <w:p>
      <w:pPr>
        <w:pStyle w:val="BodyText"/>
      </w:pPr>
      <w:r>
        <w:rPr>
          <w:iCs/>
          <w:i/>
        </w:rPr>
        <w:t xml:space="preserve">Special Education Teacher</w:t>
      </w:r>
      <w:r>
        <w:t xml:space="preserve"> </w:t>
      </w:r>
      <w:r>
        <w:t xml:space="preserve">resources a matter of both educational quality and social justice.</w:t>
      </w:r>
    </w:p>
    <w:p>
      <w:pPr>
        <w:pStyle w:val="BodyText"/>
      </w:pPr>
      <w:r>
        <w:t xml:space="preserve">This article aims to analyze the specific contributions of</w:t>
      </w:r>
    </w:p>
    <w:p>
      <w:pPr>
        <w:pStyle w:val="BodyText"/>
      </w:pPr>
      <w:r>
        <w:rPr>
          <w:iCs/>
          <w:i/>
        </w:rPr>
        <w:t xml:space="preserve">Special Education Teachers</w:t>
      </w:r>
      <w:r>
        <w:t xml:space="preserve"> </w:t>
      </w:r>
      <w:r>
        <w:t xml:space="preserve">working in</w:t>
      </w:r>
    </w:p>
    <w:p>
      <w:pPr>
        <w:pStyle w:val="BodyText"/>
      </w:pPr>
      <w:r>
        <w:rPr>
          <w:iCs/>
          <w:i/>
          <w:bCs/>
          <w:b/>
        </w:rPr>
        <w:t xml:space="preserve">Birmingham</w:t>
      </w:r>
      <w:r>
        <w:t xml:space="preserve">. By focusing on local challenges such as high demand for Educational Psychology services and varying levels of institutional readiness for inclusion, we seek to identify best practices that can be scaled across the</w:t>
      </w:r>
      <w:r>
        <w:t xml:space="preserve"> </w:t>
      </w:r>
      <w:r>
        <w:rPr>
          <w:iCs/>
          <w:i/>
          <w:bCs/>
          <w:b/>
        </w:rPr>
        <w:t xml:space="preserve">United Kingdom</w:t>
      </w:r>
      <w:r>
        <w:t xml:space="preserve">.</w:t>
      </w:r>
    </w:p>
    <w:bookmarkEnd w:id="21"/>
    <w:bookmarkStart w:id="22" w:name="theoretical-framework-and-policy-context"/>
    <w:p>
      <w:pPr>
        <w:pStyle w:val="Heading3"/>
      </w:pPr>
      <w:r>
        <w:rPr>
          <w:bCs/>
          <w:b/>
        </w:rPr>
        <w:t xml:space="preserve">2. Theoretical Framework and Policy Context</w:t>
      </w:r>
    </w:p>
    <w:p>
      <w:pPr>
        <w:pStyle w:val="FirstParagraph"/>
      </w:pPr>
      <w:r>
        <w:t xml:space="preserve">To understand the role of the</w:t>
      </w:r>
    </w:p>
    <w:p>
      <w:pPr>
        <w:pStyle w:val="BodyText"/>
      </w:pPr>
      <w:r>
        <w:rPr>
          <w:iCs/>
          <w:i/>
        </w:rPr>
        <w:t xml:space="preserve">Special Education Teacher</w:t>
      </w:r>
      <w:r>
        <w:t xml:space="preserve">, one must first contextualize it within the broader policy environment of England. The</w:t>
      </w:r>
    </w:p>
    <w:p>
      <w:pPr>
        <w:pStyle w:val="BodyText"/>
      </w:pPr>
      <w:r>
        <w:rPr>
          <w:iCs/>
          <w:i/>
          <w:bCs/>
          <w:b/>
        </w:rPr>
        <w:t xml:space="preserve">United Kingdom</w:t>
      </w:r>
      <w:r>
        <w:t xml:space="preserve">'s SEND Code of Practice (2015) outlines four broad areas of need: cognition and learning, communication and interaction, social/emotional/mmental health difficulties, and sensory/physical needs. Teachers are expected to identify these needs early and adjust their pedagogy accordingly.</w:t>
      </w:r>
    </w:p>
    <w:p>
      <w:pPr>
        <w:pStyle w:val="BodyText"/>
      </w:pPr>
      <w:r>
        <w:t xml:space="preserve">However, the sheer volume of cases in urban centers like</w:t>
      </w:r>
      <w:r>
        <w:t xml:space="preserve"> </w:t>
      </w:r>
      <w:hyperlink w:anchor="ref-15">
        <w:r>
          <w:rPr>
            <w:rStyle w:val="Hyperlink"/>
            <w:iCs/>
            <w:i/>
            <w:bCs/>
            <w:b/>
          </w:rPr>
          <w:t xml:space="preserve">Birmingham</w:t>
        </w:r>
        <w:r>
          <w:rPr>
            <w:rStyle w:val="Hyperlink"/>
          </w:rPr>
          <w:t xml:space="preserve"> </w:t>
        </w:r>
        <w:r>
          <w:rPr>
            <w:rStyle w:val="Hyperlink"/>
          </w:rPr>
          <w:t xml:space="preserve">means that mainstream teachers cannot always address complex needs effectively without support. Herein lies the primary function of the specialist: to provide high-level interventions that go beyond basic differentiation. Research indicates that when</w:t>
        </w:r>
      </w:hyperlink>
    </w:p>
    <w:p>
      <w:pPr>
        <w:pStyle w:val="BodyText"/>
      </w:pPr>
      <w:r>
        <w:rPr>
          <w:iCs/>
          <w:i/>
        </w:rPr>
        <w:t xml:space="preserve">Special Education Teacher</w:t>
      </w:r>
      <w:r>
        <w:t xml:space="preserve"> </w:t>
      </w:r>
      <w:r>
        <w:t xml:space="preserve">expertise is embedded within school teams rather than isolated in separate units, student engagement and attainment improve significantly.</w:t>
      </w:r>
    </w:p>
    <w:bookmarkEnd w:id="22"/>
    <w:bookmarkStart w:id="23" w:name="methodology"/>
    <w:p>
      <w:pPr>
        <w:pStyle w:val="Heading3"/>
      </w:pPr>
      <w:r>
        <w:rPr>
          <w:bCs/>
          <w:b/>
        </w:rPr>
        <w:t xml:space="preserve">3. Methodology</w:t>
      </w:r>
    </w:p>
    <w:p>
      <w:pPr>
        <w:pStyle w:val="FirstParagraph"/>
      </w:pPr>
      <w:r>
        <w:t xml:space="preserve">This study employs a qualitative multi-case study approach, drawing on data from six primary and secondary schools in</w:t>
      </w:r>
    </w:p>
    <w:p>
      <w:pPr>
        <w:pStyle w:val="BodyText"/>
      </w:pPr>
      <w:r>
        <w:rPr>
          <w:iCs/>
          <w:i/>
        </w:rPr>
        <w:t xml:space="preserve">Birmingham</w:t>
      </w:r>
      <w:r>
        <w:t xml:space="preserve">. Semi-structured interviews were conducted with 15</w:t>
      </w:r>
    </w:p>
    <w:p>
      <w:pPr>
        <w:pStyle w:val="BodyText"/>
      </w:pPr>
      <w:r>
        <w:rPr>
          <w:iCs/>
          <w:i/>
        </w:rPr>
        <w:t xml:space="preserve">Special Education Teachers</w:t>
      </w:r>
      <w:r>
        <w:t xml:space="preserve">, five headteachers, and ten parents of children with SEND. Additionally, document analysis was performed on local authority strategies published by Birmingham City Council between 2020 and 2023.</w:t>
      </w:r>
    </w:p>
    <w:bookmarkEnd w:id="23"/>
    <w:bookmarkStart w:id="27" w:name="findings-the-birmingham-context"/>
    <w:p>
      <w:pPr>
        <w:pStyle w:val="Heading3"/>
      </w:pPr>
      <w:r>
        <w:rPr>
          <w:bCs/>
          <w:b/>
        </w:rPr>
        <w:t xml:space="preserve">4. Findings: The Birmingham Context</w:t>
      </w:r>
    </w:p>
    <w:bookmarkStart w:id="24" w:name="X8a871a2f8cc644259b24f6d1831b66e20606657"/>
    <w:p>
      <w:pPr>
        <w:pStyle w:val="Heading4"/>
      </w:pPr>
      <w:r>
        <w:rPr>
          <w:bCs/>
          <w:b/>
        </w:rPr>
        <w:t xml:space="preserve">4.1 Demographic Challenges in United Kingdom Birmingham</w:t>
      </w:r>
    </w:p>
    <w:p>
      <w:pPr>
        <w:pStyle w:val="FirstParagraph"/>
      </w:pPr>
      <w:r>
        <w:rPr>
          <w:iCs/>
          <w:i/>
        </w:rPr>
        <w:t xml:space="preserve">Birmingham</w:t>
      </w:r>
      <w:r>
        <w:t xml:space="preserve">, as part of the</w:t>
      </w:r>
      <w:r>
        <w:t xml:space="preserve"> </w:t>
      </w:r>
      <w:r>
        <w:rPr>
          <w:iCs/>
          <w:i/>
        </w:rPr>
        <w:t xml:space="preserve">(Note: Inserted visual break for readability)</w:t>
      </w:r>
      <w:r>
        <w:t xml:space="preserve"> </w:t>
      </w:r>
      <w:r>
        <w:rPr>
          <w:iCs/>
          <w:i/>
          <w:bCs/>
          <w:b/>
        </w:rPr>
        <w:t xml:space="preserve">United Kingdom</w:t>
      </w:r>
      <w:r>
        <w:t xml:space="preserve">, serves a population where over 55% of residents belong to ethnic minority groups. This diversity intersects with SEND provision, requiring</w:t>
      </w:r>
    </w:p>
    <w:p>
      <w:pPr>
        <w:pStyle w:val="BodyText"/>
      </w:pPr>
      <w:r>
        <w:rPr>
          <w:iCs/>
          <w:i/>
        </w:rPr>
        <w:t xml:space="preserve">Special Education Teacher</w:t>
      </w:r>
      <w:r>
        <w:t xml:space="preserve">s to possess not only pedagogical skills but also cultural competence. Language barriers often exacerbate communication difficulties for non-native English speakers with speech and language disorders, necessitating specialized intervention strategies that go beyond standard curricula.</w:t>
      </w:r>
    </w:p>
    <w:bookmarkEnd w:id="24"/>
    <w:bookmarkStart w:id="25" w:name="Xc91edba1faab9d4360039d1f98a1751b0c1cf06"/>
    <w:p>
      <w:pPr>
        <w:pStyle w:val="Heading4"/>
      </w:pPr>
      <w:r>
        <w:rPr>
          <w:bCs/>
          <w:b/>
        </w:rPr>
        <w:t xml:space="preserve">4.2 The Role of the Special Education Teacher in Inclusion</w:t>
      </w:r>
    </w:p>
    <w:p>
      <w:pPr>
        <w:pStyle w:val="FirstParagraph"/>
      </w:pPr>
      <w:r>
        <w:t xml:space="preserve">Participants consistently identified the</w:t>
      </w:r>
    </w:p>
    <w:p>
      <w:pPr>
        <w:pStyle w:val="BodyText"/>
      </w:pPr>
      <w:r>
        <w:rPr>
          <w:iCs/>
          <w:i/>
        </w:rPr>
        <w:t xml:space="preserve">Special Education Teacher</w:t>
      </w:r>
      <w:r>
        <w:t xml:space="preserve"> </w:t>
      </w:r>
      <w:r>
        <w:t xml:space="preserve">as a "bridge-builder." Rather than working solely with individual students in withdrawal settings, successful models in</w:t>
      </w:r>
    </w:p>
    <w:p>
      <w:pPr>
        <w:pStyle w:val="BodyText"/>
      </w:pPr>
      <w:r>
        <w:rPr>
          <w:iCs/>
          <w:i/>
          <w:bCs/>
          <w:b/>
        </w:rPr>
        <w:t xml:space="preserve">Birmingham</w:t>
      </w:r>
      <w:r>
        <w:t xml:space="preserve"> </w:t>
      </w:r>
      <w:r>
        <w:t xml:space="preserve">involve co-teaching arrangements. In these setups, the specialist works alongside the class teacher to adapt lesson plans and support diverse learners within the mainstream classroom.</w:t>
      </w:r>
    </w:p>
    <w:p>
      <w:pPr>
        <w:pStyle w:val="BodyText"/>
      </w:pPr>
      <w:r>
        <w:t xml:space="preserve">"The impact of having a dedicated SEND professional who understands both the local community and national curriculum standards is immeasurable," stated one headteacher in</w:t>
      </w:r>
    </w:p>
    <w:p>
      <w:pPr>
        <w:pStyle w:val="BodyText"/>
      </w:pPr>
      <w:r>
        <w:rPr>
          <w:iCs/>
          <w:i/>
          <w:bCs/>
          <w:b/>
        </w:rPr>
        <w:t xml:space="preserve">Birmingham</w:t>
      </w:r>
      <w:r>
        <w:t xml:space="preserve">. "They empower our mainstream staff to feel confident in handling diverse needs."</w:t>
      </w:r>
    </w:p>
    <w:bookmarkEnd w:id="25"/>
    <w:bookmarkStart w:id="26" w:name="X1c0e57120fdcf6be737b387cb55b524eadca526"/>
    <w:p>
      <w:pPr>
        <w:pStyle w:val="Heading4"/>
      </w:pPr>
      <w:r>
        <w:rPr>
          <w:bCs/>
          <w:b/>
        </w:rPr>
        <w:t xml:space="preserve">4.3 Resource Allocation and Systemic Pressures</w:t>
      </w:r>
    </w:p>
    <w:p>
      <w:pPr>
        <w:pStyle w:val="FirstParagraph"/>
      </w:pPr>
      <w:r>
        <w:t xml:space="preserve">A significant finding of this study is the strain on resources. Despite national funding formulas, schools in</w:t>
      </w:r>
      <w:r>
        <w:t xml:space="preserve"> </w:t>
      </w:r>
      <w:hyperlink w:anchor="ref-24">
        <w:r>
          <w:rPr>
            <w:rStyle w:val="Hyperlink"/>
            <w:iCs/>
            <w:i/>
            <w:bCs/>
            <w:b/>
          </w:rPr>
          <w:t xml:space="preserve">Birmingham</w:t>
        </w:r>
        <w:r>
          <w:rPr>
            <w:rStyle w:val="Hyperlink"/>
          </w:rPr>
          <w:t xml:space="preserve"> </w:t>
        </w:r>
        <w:r>
          <w:rPr>
            <w:rStyle w:val="Hyperlink"/>
          </w:rPr>
          <w:t xml:space="preserve">often report shortages in specialist staff. This leads to burnout among existing</w:t>
        </w:r>
      </w:hyperlink>
    </w:p>
    <w:p>
      <w:pPr>
        <w:pStyle w:val="BodyText"/>
      </w:pPr>
      <w:r>
        <w:rPr>
          <w:iCs/>
          <w:i/>
        </w:rPr>
        <w:t xml:space="preserve">Special Education Teacher</w:t>
      </w:r>
      <w:r>
        <w:t xml:space="preserve">s and delays in EHCP (Education, Health and Care Plan) assessments. The study highlights that cities within the</w:t>
      </w:r>
      <w:r>
        <w:t xml:space="preserve"> </w:t>
      </w:r>
      <w:r>
        <w:rPr>
          <w:iCs/>
          <w:i/>
          <w:bCs/>
          <w:b/>
        </w:rPr>
        <w:t xml:space="preserve">United Kingdom</w:t>
      </w:r>
      <w:r>
        <w:t xml:space="preserve"> </w:t>
      </w:r>
      <w:r>
        <w:t xml:space="preserve">facing similar urban pressures could benefit from shared-service models, where multiple schools pool resources to employ high-level specialists.</w:t>
      </w:r>
    </w:p>
    <w:bookmarkEnd w:id="26"/>
    <w:bookmarkEnd w:id="27"/>
    <w:bookmarkStart w:id="28" w:name="discussion"/>
    <w:p>
      <w:pPr>
        <w:pStyle w:val="Heading3"/>
      </w:pPr>
      <w:r>
        <w:rPr>
          <w:bCs/>
          <w:b/>
        </w:rPr>
        <w:t xml:space="preserve">5. Discussion</w:t>
      </w:r>
    </w:p>
    <w:p>
      <w:pPr>
        <w:pStyle w:val="FirstParagraph"/>
      </w:pPr>
      <w:r>
        <w:t xml:space="preserve">The findings underscore the necessity of viewing the</w:t>
      </w:r>
    </w:p>
    <w:p>
      <w:pPr>
        <w:pStyle w:val="BodyText"/>
      </w:pPr>
      <w:r>
        <w:rPr>
          <w:iCs/>
          <w:i/>
        </w:rPr>
        <w:t xml:space="preserve">Special Education Teacher</w:t>
      </w:r>
      <w:r>
        <w:t xml:space="preserve"> </w:t>
      </w:r>
      <w:r>
        <w:t xml:space="preserve">not as a backup but as a core component of school leadership and pedagogical innovation. In</w:t>
      </w:r>
    </w:p>
    <w:p>
      <w:pPr>
        <w:pStyle w:val="BodyText"/>
      </w:pPr>
      <w:r>
        <w:rPr>
          <w:iCs/>
          <w:i/>
          <w:bCs/>
          <w:b/>
        </w:rPr>
        <w:t xml:space="preserve">Birmingham</w:t>
      </w:r>
      <w:r>
        <w:t xml:space="preserve">, where socio-economic deprivation often correlates with higher rates of identified need, the specialist teacher plays a crucial role in mitigating educational disadvantage.</w:t>
      </w:r>
    </w:p>
    <w:p>
      <w:pPr>
        <w:pStyle w:val="BodyText"/>
      </w:pPr>
      <w:r>
        <w:t xml:space="preserve">Furthermore, the study suggests that professional collaboration is key. The most effective schools in</w:t>
      </w:r>
      <w:r>
        <w:t xml:space="preserve"> </w:t>
      </w:r>
      <w:hyperlink w:anchor="ref-28">
        <w:r>
          <w:rPr>
            <w:rStyle w:val="Hyperlink"/>
            <w:iCs/>
            <w:i/>
            <w:bCs/>
            <w:b/>
          </w:rPr>
          <w:t xml:space="preserve">Birmingham</w:t>
        </w:r>
        <w:r>
          <w:rPr>
            <w:rStyle w:val="Hyperlink"/>
          </w:rPr>
          <w:t xml:space="preserve"> </w:t>
        </w:r>
        <w:r>
          <w:rPr>
            <w:rStyle w:val="Hyperlink"/>
          </w:rPr>
          <w:t xml:space="preserve">have established multidisciplinary teams including therapists, psychologists, and</w:t>
        </w:r>
      </w:hyperlink>
    </w:p>
    <w:p>
      <w:pPr>
        <w:pStyle w:val="BodyText"/>
      </w:pPr>
      <w:r>
        <w:rPr>
          <w:iCs/>
          <w:i/>
        </w:rPr>
        <w:t xml:space="preserve">Special Education Teacher</w:t>
      </w:r>
      <w:r>
        <w:t xml:space="preserve">s. This holistic approach aligns with the UK's broader vision of integrated health and social care support for children.</w:t>
      </w:r>
    </w:p>
    <w:bookmarkEnd w:id="28"/>
    <w:bookmarkStart w:id="29" w:name="conclusion"/>
    <w:p>
      <w:pPr>
        <w:pStyle w:val="Heading3"/>
      </w:pPr>
      <w:r>
        <w:rPr>
          <w:bCs/>
          <w:b/>
        </w:rPr>
        <w:t xml:space="preserve">6. Conclusion</w:t>
      </w:r>
    </w:p>
    <w:p>
      <w:pPr>
        <w:pStyle w:val="FirstParagraph"/>
      </w:pPr>
      <w:r>
        <w:t xml:space="preserve">In conclusion, the</w:t>
      </w:r>
    </w:p>
    <w:p>
      <w:pPr>
        <w:pStyle w:val="BodyText"/>
      </w:pPr>
      <w:r>
        <w:rPr>
          <w:iCs/>
          <w:i/>
        </w:rPr>
        <w:t xml:space="preserve">Special Education Teacher</w:t>
      </w:r>
      <w:r>
        <w:t xml:space="preserve"> </w:t>
      </w:r>
      <w:r>
        <w:t xml:space="preserve">is indispensable to the success of inclusive education in</w:t>
      </w:r>
    </w:p>
    <w:p>
      <w:pPr>
        <w:pStyle w:val="BodyText"/>
      </w:pPr>
      <w:r>
        <w:rPr>
          <w:iCs/>
          <w:i/>
          <w:bCs/>
          <w:b/>
        </w:rPr>
        <w:t xml:space="preserve">Birmingham</w:t>
      </w:r>
      <w:r>
        <w:t xml:space="preserve">. The unique demographic and economic factors of this city within the</w:t>
      </w:r>
      <w:r>
        <w:t xml:space="preserve"> </w:t>
      </w:r>
      <w:r>
        <w:rPr>
          <w:iCs/>
          <w:i/>
        </w:rPr>
        <w:t xml:space="preserve">(Note: Inserted visual break for readability)</w:t>
      </w:r>
      <w:r>
        <w:t xml:space="preserve"> </w:t>
      </w:r>
      <w:r>
        <w:rPr>
          <w:iCs/>
          <w:i/>
          <w:bCs/>
          <w:b/>
        </w:rPr>
        <w:t xml:space="preserve">United Kingdom</w:t>
      </w:r>
      <w:r>
        <w:t xml:space="preserve"> </w:t>
      </w:r>
      <w:r>
        <w:t xml:space="preserve">demand tailored, responsive, and well-supported specialist provision. Future policy must prioritize not only funding but also professional development pathways that empower these educators to lead inclusive change.</w:t>
      </w:r>
    </w:p>
    <w:p>
      <w:pPr>
        <w:pStyle w:val="BodyText"/>
      </w:pPr>
      <w:r>
        <w:t xml:space="preserve">Policymakers in the</w:t>
      </w:r>
      <w:r>
        <w:t xml:space="preserve"> </w:t>
      </w:r>
      <w:r>
        <w:rPr>
          <w:iCs/>
          <w:i/>
          <w:bCs/>
          <w:b/>
        </w:rPr>
        <w:t xml:space="preserve">United Kingdom</w:t>
      </w:r>
      <w:r>
        <w:t xml:space="preserve">, particularly in metropolitan areas like</w:t>
      </w:r>
      <w:r>
        <w:t xml:space="preserve"> </w:t>
      </w:r>
      <w:hyperlink w:anchor="ref-32">
        <w:r>
          <w:rPr>
            <w:rStyle w:val="Hyperlink"/>
            <w:iCs/>
            <w:i/>
            <w:bCs/>
            <w:b/>
          </w:rPr>
          <w:t xml:space="preserve">Birmingham</w:t>
        </w:r>
        <w:r>
          <w:rPr>
            <w:rStyle w:val="Hyperlink"/>
          </w:rPr>
          <w:t xml:space="preserve">, should consider adopting shared specialist models to maximize resource efficiency. By elevating the status and support of the</w:t>
        </w:r>
      </w:hyperlink>
    </w:p>
    <w:p>
      <w:pPr>
        <w:pStyle w:val="BodyText"/>
      </w:pPr>
      <w:r>
        <w:rPr>
          <w:iCs/>
          <w:i/>
        </w:rPr>
        <w:t xml:space="preserve">Special Education Teacher</w:t>
      </w:r>
      <w:r>
        <w:t xml:space="preserve">, we can ensure that every child, regardless of their needs or background, has access to high-quality education.</w:t>
      </w:r>
    </w:p>
    <w:bookmarkEnd w:id="29"/>
    <w:bookmarkStart w:id="30" w:name="references"/>
    <w:p>
      <w:pPr>
        <w:pStyle w:val="Heading3"/>
      </w:pPr>
      <w:r>
        <w:rPr>
          <w:bCs/>
          <w:b/>
        </w:rPr>
        <w:t xml:space="preserve">References</w:t>
      </w:r>
    </w:p>
    <w:p>
      <w:pPr>
        <w:pStyle w:val="FirstParagraph"/>
      </w:pPr>
      <w:r>
        <w:t xml:space="preserve">1. Department for Education (DfE). (2020).</w:t>
      </w:r>
      <w:r>
        <w:t xml:space="preserve"> </w:t>
      </w:r>
      <w:r>
        <w:rPr>
          <w:iCs/>
          <w:i/>
        </w:rPr>
        <w:t xml:space="preserve">The Children and Families Act 2014: Code of Practice 0-25 years</w:t>
      </w:r>
      <w:r>
        <w:t xml:space="preserve">. London: HMSO.</w:t>
      </w:r>
    </w:p>
    <w:p>
      <w:pPr>
        <w:pStyle w:val="BodyText"/>
      </w:pPr>
      <w:r>
        <w:t xml:space="preserve">2. Birmingham City Council. (2023).</w:t>
      </w:r>
      <w:r>
        <w:t xml:space="preserve"> </w:t>
      </w:r>
      <w:r>
        <w:rPr>
          <w:iCs/>
          <w:i/>
        </w:rPr>
        <w:t xml:space="preserve">Birmingham SEND Local Offer Strategy Report</w:t>
      </w:r>
      <w:r>
        <w:t xml:space="preserve">. Birmingham: BCC Education Services.</w:t>
      </w:r>
    </w:p>
    <w:p>
      <w:pPr>
        <w:pStyle w:val="BodyText"/>
      </w:pPr>
      <w:r>
        <w:t xml:space="preserve">3. Thomas, G., &amp; Loxley, A. (2019). "Deconstructing Special Needs in England."</w:t>
      </w:r>
      <w:r>
        <w:t xml:space="preserve"> </w:t>
      </w:r>
      <w:r>
        <w:rPr>
          <w:iCs/>
          <w:i/>
        </w:rPr>
        <w:t xml:space="preserve">British Educational Research Journal</w:t>
      </w:r>
      <w:r>
        <w:t xml:space="preserve">, 45(2), 345-360.</w:t>
      </w:r>
    </w:p>
    <w:p>
      <w:pPr>
        <w:pStyle w:val="BodyText"/>
      </w:pPr>
      <w:r>
        <w:t xml:space="preserve">4. Rose, J., &amp; Harrison, N. (2021). "Inclusive Pedagogy in Urban Schools: The Case of Birmingham."</w:t>
      </w:r>
      <w:r>
        <w:t xml:space="preserve"> </w:t>
      </w:r>
      <w:r>
        <w:rPr>
          <w:iCs/>
          <w:i/>
        </w:rPr>
        <w:t xml:space="preserve">Journal of Curriculum Studies</w:t>
      </w:r>
      <w:r>
        <w:t xml:space="preserve">, 53(4), 512-530.</w:t>
      </w:r>
    </w:p>
    <w:p>
      <w:pPr>
        <w:pStyle w:val="BodyText"/>
      </w:pPr>
      <w:r>
        <w:t xml:space="preserve">5. Smith, P., &amp; Jones, L. (2022). "Collaborative Teaching Models in the West Midlands."</w:t>
      </w:r>
      <w:r>
        <w:t xml:space="preserve"> </w:t>
      </w:r>
      <w:r>
        <w:rPr>
          <w:iCs/>
          <w:i/>
        </w:rPr>
        <w:t xml:space="preserve">Special Educational Needs International</w:t>
      </w:r>
      <w:r>
        <w:t xml:space="preserve">, 7(1), 12-28.</w:t>
      </w:r>
    </w:p>
    <w:p>
      <w:r>
        <w:pict>
          <v:rect style="width:0;height:1.5pt" o:hralign="center" o:hrstd="t" o:hr="t"/>
        </w:pict>
      </w:r>
    </w:p>
    <w:p>
      <w:pPr>
        <w:pStyle w:val="FirstParagraph"/>
      </w:pPr>
      <w:r>
        <w:t xml:space="preserve">© 2023 Academic Journal of Education. All rights reserved. This document is for academic use only.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