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Melbourne:</w:t>
      </w:r>
      <w:r>
        <w:t xml:space="preserve"> </w:t>
      </w:r>
      <w:r>
        <w:t xml:space="preserve">Pedagogical</w:t>
      </w:r>
      <w:r>
        <w:t xml:space="preserve"> </w:t>
      </w:r>
      <w:r>
        <w:t xml:space="preserve">Adaptations</w:t>
      </w:r>
      <w:r>
        <w:t xml:space="preserve"> </w:t>
      </w:r>
      <w:r>
        <w:t xml:space="preserve">in</w:t>
      </w:r>
      <w:r>
        <w:t xml:space="preserve"> </w:t>
      </w:r>
      <w:r>
        <w:t xml:space="preserve">a</w:t>
      </w:r>
      <w:r>
        <w:t xml:space="preserve"> </w:t>
      </w:r>
      <w:r>
        <w:t xml:space="preserve">Multicultural</w:t>
      </w:r>
      <w:r>
        <w:t xml:space="preserve"> </w:t>
      </w:r>
      <w:r>
        <w:t xml:space="preserve">Context</w:t>
      </w:r>
    </w:p>
    <w:p>
      <w:pPr>
        <w:pStyle w:val="FirstParagraph"/>
      </w:pPr>
      <w:r>
        <w:t xml:space="preserve">```html</w:t>
      </w:r>
    </w:p>
    <w:bookmarkStart w:id="27" w:name="X7adf2797a759be7cfcffb13f1d4c261bd564885"/>
    <w:p>
      <w:pPr>
        <w:pStyle w:val="Heading1"/>
      </w:pPr>
      <w:r>
        <w:t xml:space="preserve">The Evolving Role of the Primary Teacher in Melbourne:</w:t>
      </w:r>
    </w:p>
    <w:p>
      <w:pPr>
        <w:pStyle w:val="FirstParagraph"/>
      </w:pPr>
      <w:r>
        <w:br/>
      </w:r>
    </w:p>
    <w:bookmarkStart w:id="20" w:name="X45a88171f1fbd6e273a1e646bb78574690d57b2"/>
    <w:p>
      <w:pPr>
        <w:pStyle w:val="Heading2"/>
      </w:pPr>
      <w:r>
        <w:t xml:space="preserve">Pedagogical Adaptations in a Multicultural Context</w:t>
      </w:r>
    </w:p>
    <w:p>
      <w:pPr>
        <w:pStyle w:val="FirstParagraph"/>
      </w:pPr>
      <w:r>
        <w:br/>
      </w:r>
      <w:r>
        <w:br/>
      </w:r>
    </w:p>
    <w:p>
      <w:pPr>
        <w:pStyle w:val="BodyText"/>
      </w:pPr>
      <w:r>
        <w:rPr>
          <w:bCs/>
          <w:b/>
        </w:rPr>
        <w:t xml:space="preserve">Australian Journal of Primary Education (Hypothetical Publication)</w:t>
      </w:r>
      <w:r>
        <w:br/>
      </w:r>
      <w:r>
        <w:rPr>
          <w:bCs/>
          <w:b/>
        </w:rPr>
        <w:t xml:space="preserve">Author:</w:t>
      </w:r>
      <w:r>
        <w:t xml:space="preserve"> </w:t>
      </w:r>
      <w:r>
        <w:t xml:space="preserve">Dr. E. A. Scholar, Faculty of Education, University of Melbourne</w:t>
      </w:r>
      <w:r>
        <w:br/>
      </w:r>
      <w:r>
        <w:rPr>
          <w:bCs/>
          <w:b/>
        </w:rPr>
        <w:t xml:space="preserve">Date:</w:t>
      </w:r>
      <w:r>
        <w:t xml:space="preserve"> </w:t>
      </w:r>
      <w:r>
        <w:t xml:space="preserve">October 2023</w:t>
      </w:r>
      <w:r>
        <w:br/>
      </w:r>
      <w:r>
        <w:br/>
      </w:r>
    </w:p>
    <w:p>
      <w:r>
        <w:pict>
          <v:rect style="width:0;height:1.5pt" o:hralign="center" o:hrstd="t" o:hr="t"/>
        </w:pict>
      </w:r>
    </w:p>
    <w:p>
      <w:pPr>
        <w:pStyle w:val="FirstParagraph"/>
      </w:pPr>
      <w:r>
        <w:br/>
      </w:r>
    </w:p>
    <w:p>
      <w:r>
        <w:pict>
          <v:rect style="width:0;height:1.5pt" o:hralign="center" o:hrstd="t" o:hr="t"/>
        </w:pict>
      </w:r>
    </w:p>
    <w:p>
      <w:pPr>
        <w:pStyle w:val="FirstParagraph"/>
      </w:pPr>
      <w:r>
        <w:rPr>
          <w:bCs/>
          <w:b/>
        </w:rPr>
        <w:t xml:space="preserve">Abstract</w:t>
      </w:r>
      <w:r>
        <w:t xml:space="preserve">: The role of the primary teacher in Australia is undergoing a significant transformation driven by increasing cultural diversity, digital integration, and evolving pedagogical standards. This article examines the specific challenges and opportunities facing primary educators within Melbourne, Victoria. By synthesising recent curriculum frameworks from the Australian Curriculum (ACARA) with localised educational policies in Melbourne schools, this study argues that the contemporary primary teacher must act not only as an instructor of literacy and numeracy but also as a cultural mediator, emotional support practitioner, and technology integrator. The findings suggest that effective teaching in Melbourne requires a nuanced understanding of both universal educational theories and localized socio-cultural contexts.</w:t>
      </w:r>
    </w:p>
    <w:bookmarkEnd w:id="20"/>
    <w:bookmarkStart w:id="21" w:name="introduction"/>
    <w:p>
      <w:pPr>
        <w:pStyle w:val="Heading2"/>
      </w:pPr>
      <w:r>
        <w:t xml:space="preserve">Introduction</w:t>
      </w:r>
    </w:p>
    <w:p>
      <w:pPr>
        <w:pStyle w:val="FirstParagraph"/>
      </w:pPr>
      <w:r>
        <w:br/>
      </w:r>
    </w:p>
    <w:p>
      <w:r>
        <w:pict>
          <v:rect style="width:0;height:1.5pt" o:hralign="center" o:hrstd="t" o:hr="t"/>
        </w:pict>
      </w:r>
    </w:p>
    <w:p>
      <w:pPr>
        <w:pStyle w:val="FirstParagraph"/>
      </w:pPr>
      <w:r>
        <w:t xml:space="preserve">The landscape of primary education in Australia has shifted dramatically over the past two decades. No longer confined to the delivery of basic literacy and numeracy, the mandate for primary teachers now encompasses holistic child development, inclusive pedagogies, and social-emotional learning. Nowhere is this complexity more evident than in Melbourne. As one of Australia’s most multicultural cities, Melbourne presents a unique microcosm for educational research. The city’s schools are characterized by profound demographic diversity, with students arriving from over 150 different countries of birth (Department of Education Victoria, 2023). Consequently, the primary teacher in Melbourne faces distinct responsibilities that differ markedly from those in rural or homogeneous urban centers.</w:t>
      </w:r>
    </w:p>
    <w:p>
      <w:pPr>
        <w:pStyle w:val="BodyText"/>
      </w:pPr>
      <w:r>
        <w:t xml:space="preserve">This article explores the multifaceted role of the primary teacher within the specific socio-educational context of Melbourne. It addresses three critical dimensions: navigating cultural and linguistic diversity, implementing technology-enhanced pedagogy, and fostering community engagement in a post-pandemic environment. Understanding these dimensions is essential for developing robust professional development frameworks tailored to Victorian educators.</w:t>
      </w:r>
    </w:p>
    <w:bookmarkEnd w:id="21"/>
    <w:bookmarkStart w:id="22" w:name="Xaa4202595131b12634b7d637bfd28031f98e0b1"/>
    <w:p>
      <w:pPr>
        <w:pStyle w:val="Heading2"/>
      </w:pPr>
      <w:r>
        <w:t xml:space="preserve">Cultural Mediation and Inclusive Pedagogy</w:t>
      </w:r>
    </w:p>
    <w:p>
      <w:pPr>
        <w:pStyle w:val="FirstParagraph"/>
      </w:pPr>
      <w:r>
        <w:br/>
      </w:r>
    </w:p>
    <w:p>
      <w:r>
        <w:pict>
          <v:rect style="width:0;height:1.5pt" o:hralign="center" o:hrstd="t" o:hr="t"/>
        </w:pict>
      </w:r>
    </w:p>
    <w:p>
      <w:pPr>
        <w:pStyle w:val="FirstParagraph"/>
      </w:pPr>
      <w:r>
        <w:t xml:space="preserve">Melbourne’s primary classrooms are arguably the most linguistically diverse in Australia. According to recent data, a significant percentage of Melbourne school students speak a language other than English at home (LOTE). For the primary teacher, this diversity is not merely a statistic but a daily pedagogical reality. The challenge lies in ensuring equitable access to the Australian Curriculum while simultaneously valuing and maintaining students’ first languages and cultural identities.</w:t>
      </w:r>
    </w:p>
    <w:p>
      <w:pPr>
        <w:pStyle w:val="BodyText"/>
      </w:pPr>
      <w:r>
        <w:t xml:space="preserve">Inclusive pedagogy in Melbourne schools requires teachers to move beyond simple differentiation. It demands culturally responsive teaching strategies that validate diverse backgrounds. For instance, when teaching history or social studies, a primary teacher must ensure that narratives reflect the experiences of Indigenous Australians (First Nations peoples) alongside those of migrant communities. This involves engaging with Local Knowledge Holders and respecting the traditional custodians of the land upon which Melbourne schools sit.</w:t>
      </w:r>
    </w:p>
    <w:p>
      <w:pPr>
        <w:pStyle w:val="BodyText"/>
      </w:pPr>
      <w:r>
        <w:t xml:space="preserve">Furthermore, literacy instruction in Melbourne’s primary sector often requires specialized support for English Language Learners (ELLs). The teacher must collaborate closely with ESL specialists to scaffold content knowledge. This collaborative approach ensures that language barriers do not impede cognitive development. Consequently, the primary teacher becomes a facilitator of cross-cultural dialogue, creating classroom environments where diversity is viewed as an educational asset rather than a deficit.</w:t>
      </w:r>
    </w:p>
    <w:bookmarkEnd w:id="22"/>
    <w:bookmarkStart w:id="23" w:name="X200bc605b995a56880ce6edece84c6be51fe9f3"/>
    <w:p>
      <w:pPr>
        <w:pStyle w:val="Heading2"/>
      </w:pPr>
      <w:r>
        <w:t xml:space="preserve">Digital Literacy and Technological Integration</w:t>
      </w:r>
    </w:p>
    <w:p>
      <w:pPr>
        <w:pStyle w:val="FirstParagraph"/>
      </w:pPr>
      <w:r>
        <w:br/>
      </w:r>
    </w:p>
    <w:p>
      <w:r>
        <w:pict>
          <v:rect style="width:0;height:1.5pt" o:hralign="center" o:hrstd="t" o:hr="t"/>
        </w:pict>
      </w:r>
    </w:p>
    <w:p>
      <w:pPr>
        <w:pStyle w:val="FirstParagraph"/>
      </w:pPr>
      <w:r>
        <w:t xml:space="preserve">The integration of digital technologies in education has accelerated post-pandemic. In Melbourne, the "Victorian Educational Digital Transformation Strategy" underscores the necessity for schools to leverage technology not just as an administrative tool, but as a core component of pedagogical delivery. For the primary teacher, this implies a shift from being merely a consumer of educational apps to becoming an architect of digital learning experiences.</w:t>
      </w:r>
    </w:p>
    <w:p>
      <w:pPr>
        <w:pStyle w:val="BodyText"/>
      </w:pPr>
      <w:r>
        <w:t xml:space="preserve">However, technological integration in Melbourne’s primary classrooms is not uniform. Schools are encouraged to adopt personalized learning platforms that utilize data analytics to track student progress in real-time. The modern primary teacher must possess the digital fluency required to interpret this data and adjust instruction accordingly. This requires ongoing professional development beyond initial teacher education (ITE).</w:t>
      </w:r>
    </w:p>
    <w:p>
      <w:pPr>
        <w:pStyle w:val="BodyText"/>
      </w:pPr>
      <w:r>
        <w:t xml:space="preserve">Moreover, digital citizenship is a paramount concern for educators in Melbourne. With young children increasingly connected to global networks through tablets and smart devices, primary teachers bear the responsibility of teaching online safety, cyberbullying prevention, and ethical information consumption. The curriculum explicitly mandates this focus in the Digital Technologies strand of the Australian Curriculum. Therefore, Melbourne’s primary teachers must seamlessly blend traditional interpersonal skills with rigorous digital literacy instruction.</w:t>
      </w:r>
    </w:p>
    <w:bookmarkEnd w:id="23"/>
    <w:bookmarkStart w:id="24" w:name="X307ec6a90d957320a7e4f733d405a0aaa088133"/>
    <w:p>
      <w:pPr>
        <w:pStyle w:val="Heading2"/>
      </w:pPr>
      <w:r>
        <w:t xml:space="preserve">Community Engagement and Social-Emotional Learning</w:t>
      </w:r>
    </w:p>
    <w:p>
      <w:pPr>
        <w:pStyle w:val="FirstParagraph"/>
      </w:pPr>
      <w:r>
        <w:br/>
      </w:r>
    </w:p>
    <w:p>
      <w:r>
        <w:pict>
          <v:rect style="width:0;height:1.5pt" o:hralign="center" o:hrstd="t" o:hr="t"/>
        </w:pict>
      </w:r>
    </w:p>
    <w:p>
      <w:pPr>
        <w:pStyle w:val="FirstParagraph"/>
      </w:pPr>
      <w:r>
        <w:t xml:space="preserve">The role of the primary teacher extends well beyond classroom walls. In Melbourne’s complex urban environment, schools often serve as community hubs. Following the disruptions caused by global health events, there has been an intensified focus on the social-emotional wellbeing of students. Teachers are increasingly expected to function as first responders for mental health issues among children.</w:t>
      </w:r>
    </w:p>
    <w:p>
      <w:pPr>
        <w:pStyle w:val="BodyText"/>
      </w:pPr>
      <w:r>
        <w:t xml:space="preserve">In Melbourne specifically, where socioeconomic disparities vary significantly between suburbs (e.g., Eastern vs. Northern Metropolitan regions), teachers must be adept at identifying signs of disadvantage and trauma. This requires strong partnerships with families and local community organizations. The primary teacher acts as a bridge between home and school, facilitating communication that respects cultural nuances regarding child-rearing and education.</w:t>
      </w:r>
    </w:p>
    <w:p>
      <w:pPr>
        <w:pStyle w:val="BodyText"/>
      </w:pPr>
      <w:r>
        <w:t xml:space="preserve">Professional practice in Melbourne also emphasizes reflective inquiry. Teachers are encouraged to participate in Professional Learning Communities (PLCs) where they can share best practices related to wellbeing and inclusion. This collective approach ensures that the isolation often felt by educators is mitigated through collaborative problem-solving.</w:t>
      </w:r>
    </w:p>
    <w:bookmarkEnd w:id="24"/>
    <w:bookmarkStart w:id="25" w:name="conclusion"/>
    <w:p>
      <w:pPr>
        <w:pStyle w:val="Heading2"/>
      </w:pPr>
      <w:r>
        <w:t xml:space="preserve">Conclusion</w:t>
      </w:r>
    </w:p>
    <w:p>
      <w:pPr>
        <w:pStyle w:val="FirstParagraph"/>
      </w:pPr>
      <w:r>
        <w:br/>
      </w:r>
    </w:p>
    <w:p>
      <w:r>
        <w:pict>
          <v:rect style="width:0;height:1.5pt" o:hralign="center" o:hrstd="t" o:hr="t"/>
        </w:pict>
      </w:r>
    </w:p>
    <w:p>
      <w:pPr>
        <w:pStyle w:val="FirstParagraph"/>
      </w:pPr>
      <w:r>
        <w:t xml:space="preserve">The primary teacher in Melbourne operates at the intersection of global educational trends and local cultural realities. The demands placed upon these professionals are comprehensive, requiring expertise in pedagogical theory, cultural competency, technological application, and emotional intelligence. As Australia continues to evolve as a multicultural nation-state, the capacity of Melbourne’s primary teachers to adapt will be critical to ensuring educational equity and excellence.</w:t>
      </w:r>
    </w:p>
    <w:p>
      <w:pPr>
        <w:pStyle w:val="BodyText"/>
      </w:pPr>
      <w:r>
        <w:t xml:space="preserve">Future research should focus on longitudinal studies assessing the impact of culturally responsive pedagogies on student outcomes in Melbourne’s diverse schools. Additionally, policies must support continuous professional development that equips teachers with the skills needed for this expanding role. Ultimately, empowering primary teachers through adequate resources and recognition is paramount to sustaining a high-quality education system in Australia.</w:t>
      </w:r>
    </w:p>
    <w:bookmarkEnd w:id="25"/>
    <w:bookmarkStart w:id="26" w:name="references"/>
    <w:p>
      <w:pPr>
        <w:pStyle w:val="Heading2"/>
      </w:pPr>
      <w:r>
        <w:t xml:space="preserve">References</w:t>
      </w:r>
    </w:p>
    <w:p>
      <w:pPr>
        <w:pStyle w:val="FirstParagraph"/>
      </w:pPr>
      <w:r>
        <w:br/>
      </w:r>
    </w:p>
    <w:p>
      <w:r>
        <w:pict>
          <v:rect style="width:0;height:1.5pt" o:hralign="center" o:hrstd="t" o:hr="t"/>
        </w:pict>
      </w:r>
    </w:p>
    <w:p>
      <w:pPr>
        <w:pStyle w:val="FirstParagraph"/>
      </w:pPr>
      <w:r>
        <w:rPr>
          <w:iCs/>
          <w:i/>
        </w:rPr>
        <w:t xml:space="preserve">(Note: In a real academic document, this section would contain full citations following APA 7th Edition standards. Below are representative placeholders.)</w:t>
      </w:r>
    </w:p>
    <w:p>
      <w:pPr>
        <w:numPr>
          <w:ilvl w:val="0"/>
          <w:numId w:val="1001"/>
        </w:numPr>
        <w:pStyle w:val="Compact"/>
      </w:pPr>
      <w:r>
        <w:t xml:space="preserve">Australian Curriculum, Assessment and Reporting Authority (ACARA). (2023).</w:t>
      </w:r>
      <w:r>
        <w:t xml:space="preserve"> </w:t>
      </w:r>
      <w:r>
        <w:rPr>
          <w:iCs/>
          <w:i/>
        </w:rPr>
        <w:t xml:space="preserve">The Australian Curriculum Version 9.0</w:t>
      </w:r>
      <w:r>
        <w:t xml:space="preserve">. Sydney: ACARA.</w:t>
      </w:r>
    </w:p>
    <w:p>
      <w:pPr>
        <w:numPr>
          <w:ilvl w:val="0"/>
          <w:numId w:val="1001"/>
        </w:numPr>
        <w:pStyle w:val="Compact"/>
      </w:pPr>
      <w:r>
        <w:t xml:space="preserve">Department of Education Victoria. (2023).</w:t>
      </w:r>
      <w:r>
        <w:t xml:space="preserve"> </w:t>
      </w:r>
      <w:r>
        <w:rPr>
          <w:iCs/>
          <w:i/>
        </w:rPr>
        <w:t xml:space="preserve">Data Report: Multicultural Education in Victorian Schools</w:t>
      </w:r>
      <w:r>
        <w:t xml:space="preserve">. Melbourne: Government of Victoria.</w:t>
      </w:r>
    </w:p>
    <w:p>
      <w:pPr>
        <w:numPr>
          <w:ilvl w:val="0"/>
          <w:numId w:val="1001"/>
        </w:numPr>
        <w:pStyle w:val="Compact"/>
      </w:pPr>
      <w:r>
        <w:t xml:space="preserve">Hattie, J., &amp; Timperley, H. (2019). The power of feedback.</w:t>
      </w:r>
      <w:r>
        <w:t xml:space="preserve"> </w:t>
      </w:r>
      <w:r>
        <w:rPr>
          <w:iCs/>
          <w:i/>
        </w:rPr>
        <w:t xml:space="preserve">Review of Educational Research</w:t>
      </w:r>
      <w:r>
        <w:t xml:space="preserve">, 77(1), 81-126.</w:t>
      </w:r>
    </w:p>
    <w:p>
      <w:pPr>
        <w:numPr>
          <w:ilvl w:val="0"/>
          <w:numId w:val="1001"/>
        </w:numPr>
        <w:pStyle w:val="Compact"/>
      </w:pPr>
      <w:r>
        <w:t xml:space="preserve">Lester, S., et al. (2020). Teacher agency in multicultural contexts: Challenges and opportunities in Australia.</w:t>
      </w:r>
      <w:r>
        <w:t xml:space="preserve"> </w:t>
      </w:r>
      <w:r>
        <w:rPr>
          <w:iCs/>
          <w:i/>
        </w:rPr>
        <w:t xml:space="preserve">Australian Journal of Teacher Education</w:t>
      </w:r>
      <w:r>
        <w:t xml:space="preserve">, 45(3).</w:t>
      </w:r>
    </w:p>
    <w:p>
      <w:pPr>
        <w:pStyle w:val="FirstParagraph"/>
      </w:pPr>
      <w:r>
        <w:br/>
      </w:r>
    </w:p>
    <w:p>
      <w:r>
        <w:pict>
          <v:rect style="width:0;height:1.5pt" o:hralign="center" o:hrstd="t" o:hr="t"/>
        </w:pict>
      </w:r>
    </w:p>
    <w:p>
      <w:pPr>
        <w:pStyle w:val="FirstParagraph"/>
      </w:pPr>
      <w:r>
        <w:t xml:space="preserve">© 2023 Australian Journal of Primary Education.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Primary Teacher in Melbourne: Pedagogical Adaptations in a Multicultural Context</dc:title>
  <dc:creator/>
  <dc:language>en</dc:language>
  <cp:keywords/>
  <dcterms:created xsi:type="dcterms:W3CDTF">2026-07-29T06:11:08Z</dcterms:created>
  <dcterms:modified xsi:type="dcterms:W3CDTF">2026-07-29T06:11:08Z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