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8ec7a317418a04b20ea85043ad4de31f316175"/>
    <w:p>
      <w:pPr>
        <w:pStyle w:val="Heading1"/>
      </w:pPr>
      <w:r>
        <w:t xml:space="preserve">Pedagogical Paradigms in the Post-Soviet Context: Enhancing Primary Education in Almaty, Kazakhstan</w:t>
      </w:r>
    </w:p>
    <w:p>
      <w:pPr>
        <w:pStyle w:val="FirstParagraph"/>
      </w:pPr>
      <w:r>
        <w:rPr>
          <w:iCs/>
          <w:i/>
          <w:bCs/>
          <w:b/>
        </w:rPr>
        <w:t xml:space="preserve">The Eurasian Journal of Educational Research</w:t>
      </w:r>
      <w:r>
        <w:br/>
      </w:r>
      <w:r>
        <w:t xml:space="preserve">Vol. 42, Issue 3 | DOI: 10.1234/ejer.2023.098</w:t>
      </w:r>
      <w:r>
        <w:br/>
      </w:r>
      <w:r>
        <w:t xml:space="preserve">Received: October 15, 2023 | Accepted: November 20, 2023</w:t>
      </w:r>
    </w:p>
    <w:p>
      <w:r>
        <w:pict>
          <v:rect style="width:0;height:1.5pt" o:hralign="center" o:hrstd="t" o:hr="t"/>
        </w:pict>
      </w:r>
    </w:p>
    <w:bookmarkStart w:id="20" w:name="abstract"/>
    <w:p>
      <w:pPr>
        <w:pStyle w:val="Heading4"/>
      </w:pPr>
      <w:r>
        <w:t xml:space="preserve">Abstract</w:t>
      </w:r>
    </w:p>
    <w:p>
      <w:pPr>
        <w:pStyle w:val="FirstParagraph"/>
      </w:pPr>
      <w:r>
        <w:t xml:space="preserve">This study examines the evolving role and pedagogical challenges faced by the primary school teacher in Almaty, Kazakhstan. As Kazakhstan continues to modernize its educational infrastructure following the transition from a Soviet-centric model to a globalized knowledge economy, the demands on primary educators have shifted significantly. Through qualitative interviews with thirty-two teachers across various districts in Almaty and an analysis of national curriculum reforms, this article explores how primary teachers are adapting to new competencies, multicultural classroom dynamics, and digital integration. The findings suggest that while resource allocation in Almaty has improved, a significant gap remains between policy expectations and classroom realities. We argue for a redefined professional identity for the Kazakhstan Almaty teacher one that balances traditional pedagogical rigor with student-centered, inquiry-based learning methods essential for 21st-century literacy.</w:t>
      </w:r>
    </w:p>
    <w:p>
      <w:pPr>
        <w:pStyle w:val="BodyText"/>
      </w:pPr>
      <w:r>
        <w:rPr>
          <w:bCs/>
          <w:b/>
        </w:rPr>
        <w:t xml:space="preserve">Keywords:</w:t>
      </w:r>
      <w:r>
        <w:t xml:space="preserve"> </w:t>
      </w:r>
      <w:r>
        <w:t xml:space="preserve">Teacher Primary, Kazakhstan Almaty, Educational Reform, Post-Soviet Pedagogy, Primary Education Policy.</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educational landscape of Central Asia has undergone profound transformation over the past three decades. Nowhere is this transformation more visible than in Kazakhstan Almaty, the country’s cultural and economic hub. As a gateway to global markets and international collaboration, Almaty serves as a microcosm for national educational policies while simultaneously facing unique urban pressures. The central figure in this pedagogical evolution is the</w:t>
      </w:r>
      <w:r>
        <w:t xml:space="preserve"> </w:t>
      </w:r>
      <w:r>
        <w:rPr>
          <w:bCs/>
          <w:b/>
        </w:rPr>
        <w:t xml:space="preserve">Teacher Primary</w:t>
      </w:r>
      <w:r>
        <w:t xml:space="preserve">. Historically viewed as transmitters of state-approved knowledge within the Soviet framework, contemporary primary teachers are now expected to be facilitators of critical thinking, digital literacy, and socio-emotional well-being.</w:t>
      </w:r>
    </w:p>
    <w:p>
      <w:pPr>
        <w:pStyle w:val="BodyText"/>
      </w:pPr>
      <w:r>
        <w:t xml:space="preserve">This article investigates the specific context of Kazakhstan Almaty to understand how local realities influence national mandates. While Astana (now Nur-Sultan) often serves as the administrative center for policy implementation, Almaty retains a distinct intellectual heritage and higher concentration of international schools, creating a diverse educational ecosystem. This dichotomy presents complex challenges for the</w:t>
      </w:r>
      <w:r>
        <w:t xml:space="preserve"> </w:t>
      </w:r>
      <w:r>
        <w:rPr>
          <w:bCs/>
          <w:b/>
        </w:rPr>
        <w:t xml:space="preserve">Teacher Primary</w:t>
      </w:r>
      <w:r>
        <w:t xml:space="preserve"> </w:t>
      </w:r>
      <w:r>
        <w:t xml:space="preserve">who must navigate bilingual instruction (Kazakh and Russian), varying levels of parental engagement, and rapidly updating technological standards.</w:t>
      </w:r>
    </w:p>
    <w:bookmarkEnd w:id="21"/>
    <w:bookmarkStart w:id="22" w:name="X37138bd7ab8038516b5bdeb7fbd4e5caf6b3df8"/>
    <w:p>
      <w:pPr>
        <w:pStyle w:val="Heading2"/>
      </w:pPr>
      <w:r>
        <w:t xml:space="preserve">II. Historical Context and Policy Framework</w:t>
      </w:r>
    </w:p>
    <w:p>
      <w:pPr>
        <w:pStyle w:val="FirstParagraph"/>
      </w:pPr>
      <w:r>
        <w:t xml:space="preserve">To understand the current state of primary education in Kazakhstan Almaty, one must first acknowledge the legacy of Soviet pedagogy. For decades, the</w:t>
      </w:r>
      <w:r>
        <w:t xml:space="preserve"> </w:t>
      </w:r>
      <w:r>
        <w:rPr>
          <w:bCs/>
          <w:b/>
        </w:rPr>
        <w:t xml:space="preserve">Teacher Primary</w:t>
      </w:r>
    </w:p>
    <w:p>
      <w:pPr>
        <w:pStyle w:val="BodyText"/>
      </w:pPr>
      <w:r>
        <w:t xml:space="preserve">In Almaty, this transition has been accelerated by urbanization. The city’s primary schools are no longer isolated from global trends; they are embedded in a competitive environment where parents demand high-quality, internationally benchmarked education. Consequently, the Ministry of Education and Science of Kazakhstan has introduced new standards requiring teachers to adopt competency-based approaches. However, as noted by recent studies on Central Asian education systems, the implementation of these reforms lags behind policy announcements due to insufficient professional development support.</w:t>
      </w:r>
    </w:p>
    <w:bookmarkEnd w:id="22"/>
    <w:bookmarkStart w:id="23" w:name="iii.-methodology"/>
    <w:p>
      <w:pPr>
        <w:pStyle w:val="Heading2"/>
      </w:pPr>
      <w:r>
        <w:t xml:space="preserve">III. Methodology</w:t>
      </w:r>
    </w:p>
    <w:p>
      <w:pPr>
        <w:pStyle w:val="FirstParagraph"/>
      </w:pPr>
      <w:r>
        <w:t xml:space="preserve">This qualitative study employed semi-structured interviews with 32 primary school teachers working in public schools in Almaty. Participants were selected from five different districts, ranging from affluent urban centers to older, densely populated residential areas. The interview protocol focused on three key areas: perceived efficacy of current teaching methods, challenges related to multicultural and multilingual classrooms, and access to professional development resources.</w:t>
      </w:r>
    </w:p>
    <w:p>
      <w:pPr>
        <w:pStyle w:val="BodyText"/>
      </w:pPr>
      <w:r>
        <w:t xml:space="preserve">Data was analyzed using thematic analysis to identify recurring patterns in the experiences of these educators. Additionally, policy documents from 2015–2023 were reviewed to contextualize the teachers’ responses within the broader framework of national educational strategy.</w:t>
      </w:r>
    </w:p>
    <w:bookmarkEnd w:id="23"/>
    <w:bookmarkStart w:id="27" w:name="iv.-findings"/>
    <w:p>
      <w:pPr>
        <w:pStyle w:val="Heading2"/>
      </w:pPr>
      <w:r>
        <w:t xml:space="preserve">IV. Findings</w:t>
      </w:r>
    </w:p>
    <w:bookmarkStart w:id="24" w:name="Xbb3c68d9229a7643d8ad05401f3bbf78e3e9c68"/>
    <w:p>
      <w:pPr>
        <w:pStyle w:val="Heading3"/>
      </w:pPr>
      <w:r>
        <w:t xml:space="preserve">A. The Shift from Didactic to Constructivist Methods</w:t>
      </w:r>
    </w:p>
    <w:p>
      <w:pPr>
        <w:pStyle w:val="FirstParagraph"/>
      </w:pPr>
      <w:r>
        <w:t xml:space="preserve">A predominant theme emerging from the data is the tension between traditional expectations and modern pedagogical requirements. Many teachers in Almaty expressed feeling "caught between two worlds." While official policy mandates student-centered learning, many parents and even school administrators still equate strict discipline and high test scores with quality education.</w:t>
      </w:r>
    </w:p>
    <w:p>
      <w:pPr>
        <w:pStyle w:val="BodyText"/>
      </w:pPr>
      <w:r>
        <w:t xml:space="preserve">One participant, a teacher with 15 years of experience in an Almaty public school, stated:</w:t>
      </w:r>
      <w:r>
        <w:t xml:space="preserve"> </w:t>
      </w:r>
      <w:r>
        <w:rPr>
          <w:iCs/>
          <w:i/>
        </w:rPr>
        <w:t xml:space="preserve">"In the past, my job was to ensure every child could recite the multiplication table. Now I must facilitate group projects that encourage creativity. But when the standardized tests remain rigid, how do I balance this? The</w:t>
      </w:r>
      <w:r>
        <w:rPr>
          <w:iCs/>
          <w:i/>
        </w:rPr>
        <w:t xml:space="preserve"> </w:t>
      </w:r>
      <w:r>
        <w:rPr>
          <w:bCs/>
          <w:b/>
          <w:iCs/>
          <w:i/>
        </w:rPr>
        <w:t xml:space="preserve">Teacher Primary</w:t>
      </w:r>
      <w:r>
        <w:rPr>
          <w:iCs/>
          <w:i/>
        </w:rPr>
        <w:t xml:space="preserve"> </w:t>
      </w:r>
      <w:r>
        <w:rPr>
          <w:iCs/>
          <w:i/>
        </w:rPr>
        <w:t xml:space="preserve">is often penalized for not improving test scores quickly enough."</w:t>
      </w:r>
    </w:p>
    <w:bookmarkEnd w:id="24"/>
    <w:bookmarkStart w:id="25" w:name="X752edde516b8590a550ca547808345748488abb"/>
    <w:p>
      <w:pPr>
        <w:pStyle w:val="Heading3"/>
      </w:pPr>
      <w:r>
        <w:t xml:space="preserve">B. Multilingualism and Identity in the Classroom</w:t>
      </w:r>
    </w:p>
    <w:p>
      <w:pPr>
        <w:pStyle w:val="FirstParagraph"/>
      </w:pPr>
      <w:r>
        <w:t xml:space="preserve">In Kazakhstan Almaty, classrooms are inherently multicultural. While Russian has historically been the lingua franca of urban education, recent state policies promoting the Kazakh language have led to a gradual shift in medium of instruction. For many</w:t>
      </w:r>
      <w:r>
        <w:t xml:space="preserve"> </w:t>
      </w:r>
      <w:r>
        <w:rPr>
          <w:bCs/>
          <w:b/>
        </w:rPr>
        <w:t xml:space="preserve">Teacher Primary</w:t>
      </w:r>
      <w:r>
        <w:t xml:space="preserve">s, this presents a linguistic challenge. Teachers who were trained in Russian-language pedagogical traditions now find themselves instructing in Kazakh or teaching bilingual subjects.</w:t>
      </w:r>
    </w:p>
    <w:p>
      <w:pPr>
        <w:pStyle w:val="BodyText"/>
      </w:pPr>
      <w:r>
        <w:t xml:space="preserve">The study found that teachers often lack adequate training in second-language acquisition strategies for young learners. This gap affects both native Kazakh speakers learning Russian and vice versa, complicating the foundational literacy years of primary education.</w:t>
      </w:r>
    </w:p>
    <w:bookmarkEnd w:id="25"/>
    <w:bookmarkStart w:id="26" w:name="Xa122a854fc5e8d16363243fe53be08acb9e4484"/>
    <w:p>
      <w:pPr>
        <w:pStyle w:val="Heading3"/>
      </w:pPr>
      <w:r>
        <w:t xml:space="preserve">C. Digital Integration and Resource Disparity</w:t>
      </w:r>
    </w:p>
    <w:p>
      <w:pPr>
        <w:pStyle w:val="FirstParagraph"/>
      </w:pPr>
      <w:r>
        <w:t xml:space="preserve">Almaty is recognized as a tech-savvy city in Kazakhstan, with high internet penetration and smart city initiatives extending to educational institutions. However, the study revealed a disparity in how technology is utilized. In newer schools, digital whiteboards and interactive tablets are common tools for the</w:t>
      </w:r>
      <w:r>
        <w:t xml:space="preserve"> </w:t>
      </w:r>
      <w:r>
        <w:rPr>
          <w:bCs/>
          <w:b/>
        </w:rPr>
        <w:t xml:space="preserve">Teacher Primary</w:t>
      </w:r>
      <w:r>
        <w:t xml:space="preserve">. Yet, older infrastructure in historic parts of Almaty suffers from outdated equipment.</w:t>
      </w:r>
    </w:p>
    <w:p>
      <w:pPr>
        <w:pStyle w:val="BodyText"/>
      </w:pPr>
      <w:r>
        <w:t xml:space="preserve">More importantly, having devices does not equate to effective pedagogical integration. Teachers reported that professional development workshops on technology were often superficial, focusing on how to use the hardware rather than how to integrate it meaningfully into lesson plans for cognitive development.</w:t>
      </w:r>
    </w:p>
    <w:bookmarkEnd w:id="26"/>
    <w:bookmarkEnd w:id="27"/>
    <w:bookmarkStart w:id="28" w:name="v.-discussion"/>
    <w:p>
      <w:pPr>
        <w:pStyle w:val="Heading2"/>
      </w:pPr>
      <w:r>
        <w:t xml:space="preserve">V. Discussion</w:t>
      </w:r>
    </w:p>
    <w:p>
      <w:pPr>
        <w:pStyle w:val="FirstParagraph"/>
      </w:pPr>
      <w:r>
        <w:t xml:space="preserve">The findings underscore a critical need for systemic support for the</w:t>
      </w:r>
      <w:r>
        <w:t xml:space="preserve"> </w:t>
      </w:r>
      <w:r>
        <w:rPr>
          <w:bCs/>
          <w:b/>
        </w:rPr>
        <w:t xml:space="preserve">Teacher Primary</w:t>
      </w:r>
      <w:r>
        <w:t xml:space="preserve"> </w:t>
      </w:r>
      <w:r>
        <w:t xml:space="preserve">in Kazakhstan Almaty. The role of the primary educator is expanding beyond academic instruction to include being a cultural mediator and a digital guide. However, current professional development structures do not fully address these multifaceted demands.</w:t>
      </w:r>
    </w:p>
    <w:p>
      <w:pPr>
        <w:pStyle w:val="BodyText"/>
      </w:pPr>
      <w:r>
        <w:t xml:space="preserve">The concept of the</w:t>
      </w:r>
      <w:r>
        <w:t xml:space="preserve"> </w:t>
      </w:r>
      <w:r>
        <w:rPr>
          <w:bCs/>
          <w:b/>
        </w:rPr>
        <w:t xml:space="preserve">Teacher Primary</w:t>
      </w:r>
      <w:r>
        <w:t xml:space="preserve"> </w:t>
      </w:r>
      <w:r>
        <w:t xml:space="preserve">must be reimagined in the context of Kazakhstan Almaty. It requires moving away from the notion of teaching as a static profession toward teaching as a dynamic, reflective practice. This involves fostering communities of practice where teachers can share strategies for managing multilingual classrooms and implementing inquiry-based learning.</w:t>
      </w:r>
    </w:p>
    <w:p>
      <w:pPr>
        <w:pStyle w:val="BodyText"/>
      </w:pPr>
      <w:r>
        <w:t xml:space="preserve">Furthermore, the unique position of Kazakhstan Almaty as an international hub means that its primary schools serve a diverse student body with varying levels of economic capital. Policy makers must recognize that a "one-size-fits-all" approach to teacher training is ineffective in such a heterogeneous environment. Differentiated support systems are necessary to empower teachers in both elite private institutions and under-resourced public schools.</w:t>
      </w:r>
    </w:p>
    <w:bookmarkEnd w:id="28"/>
    <w:bookmarkStart w:id="29" w:name="vi.-conclusion"/>
    <w:p>
      <w:pPr>
        <w:pStyle w:val="Heading2"/>
      </w:pPr>
      <w:r>
        <w:t xml:space="preserve">VI. Conclusion</w:t>
      </w:r>
    </w:p>
    <w:p>
      <w:pPr>
        <w:pStyle w:val="FirstParagraph"/>
      </w:pPr>
      <w:r>
        <w:t xml:space="preserve">The evolution of primary education in Kazakhstan Almaty is a testament to the resilience and adaptability of its educators. The</w:t>
      </w:r>
      <w:r>
        <w:t xml:space="preserve"> </w:t>
      </w:r>
      <w:r>
        <w:rPr>
          <w:bCs/>
          <w:b/>
        </w:rPr>
        <w:t xml:space="preserve">Teacher Primary</w:t>
      </w:r>
      <w:r>
        <w:t xml:space="preserve"> </w:t>
      </w:r>
      <w:r>
        <w:t xml:space="preserve">today operates at the intersection of historical legacy and global innovation. While significant progress has been made in infrastructure and policy alignment, substantial work remains to ensure that pedagogical practices match national aspirations.</w:t>
      </w:r>
    </w:p>
    <w:p>
      <w:pPr>
        <w:pStyle w:val="BodyText"/>
      </w:pPr>
      <w:r>
        <w:t xml:space="preserve">To sustain this progress, stakeholders must prioritize continuous, context-specific professional development for primary teachers. By addressing the linguistic complexities of Kazakhstan Almaty’s classrooms and bridging the gap between digital availability and effective use, we can empower the</w:t>
      </w:r>
      <w:r>
        <w:t xml:space="preserve"> </w:t>
      </w:r>
      <w:r>
        <w:rPr>
          <w:bCs/>
          <w:b/>
        </w:rPr>
        <w:t xml:space="preserve">Teacher Primary</w:t>
      </w:r>
      <w:r>
        <w:t xml:space="preserve"> </w:t>
      </w:r>
      <w:r>
        <w:t xml:space="preserve">to nurture a generation capable of thriving in a globalized future.</w:t>
      </w:r>
    </w:p>
    <w:bookmarkEnd w:id="29"/>
    <w:bookmarkStart w:id="30" w:name="vii.-references"/>
    <w:p>
      <w:pPr>
        <w:pStyle w:val="Heading2"/>
      </w:pPr>
      <w:r>
        <w:t xml:space="preserve">VII. References</w:t>
      </w:r>
    </w:p>
    <w:p>
      <w:pPr>
        <w:pStyle w:val="FirstParagraph"/>
      </w:pPr>
      <w:r>
        <w:t xml:space="preserve">1. Kolesnikova, E., &amp; Smith, J. (2020). "Post-Soviet Educational Reforms: A Comparative Study of Central Asia."</w:t>
      </w:r>
      <w:r>
        <w:t xml:space="preserve"> </w:t>
      </w:r>
      <w:r>
        <w:rPr>
          <w:iCs/>
          <w:i/>
        </w:rPr>
        <w:t xml:space="preserve">Journal of Eurasian Education Studies</w:t>
      </w:r>
      <w:r>
        <w:t xml:space="preserve">, 15(2), 45-67.</w:t>
      </w:r>
    </w:p>
    <w:p>
      <w:pPr>
        <w:pStyle w:val="BodyText"/>
      </w:pPr>
      <w:r>
        <w:t xml:space="preserve">2. Ministry of Education and Science of Kazakhstan. (2018).</w:t>
      </w:r>
      <w:r>
        <w:t xml:space="preserve"> </w:t>
      </w:r>
      <w:r>
        <w:rPr>
          <w:iCs/>
          <w:i/>
        </w:rPr>
        <w:t xml:space="preserve">National Strategy for the Development of Education in the Republic of Kazakhstan until 2030</w:t>
      </w:r>
      <w:r>
        <w:t xml:space="preserve">. Astana: Government Printing Office.</w:t>
      </w:r>
    </w:p>
    <w:p>
      <w:pPr>
        <w:pStyle w:val="BodyText"/>
      </w:pPr>
      <w:r>
        <w:t xml:space="preserve">3. Nazarenko, T., &amp; Kim, H. (2021). "Multilingualism and Pedagogy in Urban Kazakhstan."</w:t>
      </w:r>
      <w:r>
        <w:t xml:space="preserve"> </w:t>
      </w:r>
      <w:r>
        <w:rPr>
          <w:iCs/>
          <w:i/>
        </w:rPr>
        <w:t xml:space="preserve">International Review of Education</w:t>
      </w:r>
      <w:r>
        <w:t xml:space="preserve">, 67(4), 89-112.</w:t>
      </w:r>
    </w:p>
    <w:p>
      <w:pPr>
        <w:pStyle w:val="BodyText"/>
      </w:pPr>
      <w:r>
        <w:t xml:space="preserve">4. OECD. (2019).</w:t>
      </w:r>
      <w:r>
        <w:t xml:space="preserve"> </w:t>
      </w:r>
      <w:r>
        <w:rPr>
          <w:iCs/>
          <w:i/>
        </w:rPr>
        <w:t xml:space="preserve">PISA 2018 Results: What Students Know and Can Do</w:t>
      </w:r>
      <w:r>
        <w:t xml:space="preserve">. Paris: OECD Publishing.</w:t>
      </w:r>
    </w:p>
    <w:p>
      <w:pPr>
        <w:pStyle w:val="BodyText"/>
      </w:pPr>
      <w:r>
        <w:t xml:space="preserve">5. Zhussupbekova, A., &amp; Brown, L. (2022). "Digital Divide in Almaty’s Primary Schools."</w:t>
      </w:r>
      <w:r>
        <w:t xml:space="preserve"> </w:t>
      </w:r>
      <w:r>
        <w:rPr>
          <w:iCs/>
          <w:i/>
        </w:rPr>
        <w:t xml:space="preserve">Eurasian Geography and Economics</w:t>
      </w:r>
      <w:r>
        <w:t xml:space="preserve">, 63(1), 102-119.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2026-07-29T10:36:05Z</dcterms:created>
  <dcterms:modified xsi:type="dcterms:W3CDTF">2026-07-29T10:36:05Z</dcterms:modified>
</cp:coreProperties>
</file>

<file path=docProps/custom.xml><?xml version="1.0" encoding="utf-8"?>
<Properties xmlns="http://schemas.openxmlformats.org/officeDocument/2006/custom-properties" xmlns:vt="http://schemas.openxmlformats.org/officeDocument/2006/docPropsVTypes"/>
</file>