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Secondary</w:t>
      </w:r>
      <w:r>
        <w:t xml:space="preserve"> </w:t>
      </w:r>
      <w:r>
        <w:t xml:space="preserve">Teachers</w:t>
      </w:r>
      <w:r>
        <w:t xml:space="preserve"> </w:t>
      </w:r>
      <w:r>
        <w:t xml:space="preserve">in</w:t>
      </w:r>
      <w:r>
        <w:t xml:space="preserve"> </w:t>
      </w:r>
      <w:r>
        <w:t xml:space="preserve">the</w:t>
      </w:r>
      <w:r>
        <w:t xml:space="preserve"> </w:t>
      </w:r>
      <w:r>
        <w:t xml:space="preserve">Australian</w:t>
      </w:r>
      <w:r>
        <w:t xml:space="preserve"> </w:t>
      </w:r>
      <w:r>
        <w:t xml:space="preserve">Educational</w:t>
      </w:r>
      <w:r>
        <w:t xml:space="preserve"> </w:t>
      </w:r>
      <w:r>
        <w:t xml:space="preserve">Landscape:</w:t>
      </w:r>
      <w:r>
        <w:t xml:space="preserve"> </w:t>
      </w:r>
      <w:r>
        <w:t xml:space="preserve">A</w:t>
      </w:r>
      <w:r>
        <w:t xml:space="preserve"> </w:t>
      </w:r>
      <w:r>
        <w:t xml:space="preserve">Melbourne</w:t>
      </w:r>
      <w:r>
        <w:t xml:space="preserve"> </w:t>
      </w:r>
      <w:r>
        <w:t xml:space="preserve">Case</w:t>
      </w:r>
      <w:r>
        <w:t xml:space="preserve"> </w:t>
      </w:r>
      <w:r>
        <w:t xml:space="preserve">Study</w:t>
      </w:r>
    </w:p>
    <w:bookmarkStart w:id="30" w:name="X747d3b395141abb762a8be2a97a99fb274988d4"/>
    <w:p>
      <w:pPr>
        <w:pStyle w:val="Heading1"/>
      </w:pPr>
      <w:r>
        <w:t xml:space="preserve">The Evolving Role of Secondary Teachers in the Australian Educational Landscape:</w:t>
      </w:r>
    </w:p>
    <w:bookmarkStart w:id="29" w:name="a-melbourne-case-study"/>
    <w:p>
      <w:pPr>
        <w:pStyle w:val="Heading2"/>
      </w:pPr>
      <w:r>
        <w:t xml:space="preserve">A Melbourne Case Study</w:t>
      </w:r>
    </w:p>
    <w:p>
      <w:pPr>
        <w:pStyle w:val="FirstParagraph"/>
      </w:pPr>
      <w:r>
        <w:rPr>
          <w:iCs/>
          <w:i/>
          <w:bCs/>
          <w:b/>
        </w:rPr>
        <w:t xml:space="preserve">Australian Journal of Education and Professional Practice</w:t>
      </w:r>
    </w:p>
    <w:p>
      <w:r>
        <w:pict>
          <v:rect style="width:0;height:1.5pt" o:hralign="center" o:hrstd="t" o:hr="t"/>
        </w:pict>
      </w:r>
    </w:p>
    <w:bookmarkStart w:id="20" w:name="abstract"/>
    <w:p>
      <w:pPr>
        <w:pStyle w:val="Heading3"/>
      </w:pPr>
      <w:r>
        <w:t xml:space="preserve">Abstract</w:t>
      </w:r>
    </w:p>
    <w:p>
      <w:pPr>
        <w:pStyle w:val="FirstParagraph"/>
      </w:pPr>
      <w:r>
        <w:t xml:space="preserve">This article examines the multifaceted role of the secondary teacher within the Australian educational framework, with a specific focus on Melbourne, Victoria. As societal demands and pedagogical expectations evolve, the traditional model of instruction is being replaced by a more holistic approach to educator responsibility. This paper explores how secondary teachers in Melbourne are navigating complex challenges, including digital transformation, mental health support for adolescents, and culturally diverse classrooms. By analyzing current policy frameworks such as the Australian Professional Standards for Teachers (APST) and local Victorian curriculum adaptations, this study highlights the necessity of adaptive leadership and emotional intelligence in modern secondary education. The findings suggest that successful secondary teachers in Melbourne must function not only as subject matter experts but also as mentors, data analysts, and community liaisons to ensure equitable student outcomes.</w:t>
      </w:r>
    </w:p>
    <w:p>
      <w:pPr>
        <w:pStyle w:val="BodyText"/>
      </w:pPr>
      <w:r>
        <w:rPr>
          <w:bCs/>
          <w:b/>
        </w:rPr>
        <w:t xml:space="preserve">Keywords:</w:t>
      </w:r>
      <w:r>
        <w:t xml:space="preserve"> </w:t>
      </w:r>
      <w:r>
        <w:t xml:space="preserve">Secondary Education; Australian Teachers; Melbourne Schools; Pedagogy; Teacher Professional Standards;</w:t>
      </w:r>
    </w:p>
    <w:bookmarkEnd w:id="20"/>
    <w:p>
      <w:pPr>
        <w:pStyle w:val="BodyText"/>
      </w:pPr>
      <w:r>
        <w:rPr>
          <w:iCs/>
          <w:i/>
        </w:rPr>
        <w:t xml:space="preserve">Australian Journal of Education and Professional Practice</w:t>
      </w:r>
      <w:r>
        <w:t xml:space="preserve">, Vol. 12, No. 3, 2024</w:t>
      </w:r>
      <w:r>
        <w:br/>
      </w:r>
      <w:r>
        <w:t xml:space="preserve">DOI: 10.xxxx/ajep.v12i3.456</w:t>
      </w:r>
    </w:p>
    <w:bookmarkStart w:id="21" w:name="introduction"/>
    <w:p>
      <w:pPr>
        <w:pStyle w:val="Heading3"/>
      </w:pPr>
      <w:r>
        <w:t xml:space="preserve">Introduction</w:t>
      </w:r>
    </w:p>
    <w:p>
      <w:pPr>
        <w:pStyle w:val="FirstParagraph"/>
      </w:pPr>
      <w:r>
        <w:t xml:space="preserve">The role of the secondary teacher has undergone a significant paradigm shift in recent decades. In Australia, particularly within the bustling educational hub of Melbourne, these professionals face an unprecedented array of responsibilities that extend far beyond the boundaries of content delivery. Melbourne’s schools are characterized by high socioeconomic diversity and cultural complexity, presenting unique pedagogical challenges. Consequently, the expectation placed upon secondary teachers has expanded from mere instruction to encompass comprehensive student welfare, digital integration, and community engagement.</w:t>
      </w:r>
    </w:p>
    <w:p>
      <w:pPr>
        <w:pStyle w:val="BodyText"/>
      </w:pPr>
      <w:r>
        <w:t xml:space="preserve">This article argues that the contemporary secondary teacher in Australia must adopt a dynamic professional identity. Drawing upon qualitative data from interviews with educators across various metropolitan and suburban schools in Melbourne, this paper investigates how these teachers interpret and enact their roles within the context of national standards and local realities. The focus on Melbourne is deliberate, as it serves as a microcosm for broader Australian educational trends, characterized by rapid demographic changes and rigorous accountability measures.</w:t>
      </w:r>
    </w:p>
    <w:bookmarkEnd w:id="21"/>
    <w:bookmarkStart w:id="22" w:name="X3c3e8df7019abdf977de9253c64e453622f1e92"/>
    <w:p>
      <w:pPr>
        <w:pStyle w:val="Heading3"/>
      </w:pPr>
      <w:r>
        <w:t xml:space="preserve">Theoretical Framework: The Australian Professional Standards for Teachers</w:t>
      </w:r>
    </w:p>
    <w:p>
      <w:pPr>
        <w:pStyle w:val="FirstParagraph"/>
      </w:pPr>
      <w:r>
        <w:t xml:space="preserve">To understand the scope of modern teaching in Australia, one must examine the Australian Professional Standards for Teachers (APST). Developed by the National Institute of Education Dispatches, these standards outline seven domains that guide teacher practice from graduate to expert levels. For secondary teachers in Melbourne, these domains require a nuanced application. Domain 3 focuses on planning for and implementing effective teaching and learning, while Domain 4 emphasizes creating and maintaining supportive and safe learning environments.</w:t>
      </w:r>
    </w:p>
    <w:p>
      <w:pPr>
        <w:pStyle w:val="BodyText"/>
      </w:pPr>
      <w:r>
        <w:t xml:space="preserve">In the Melbourne context, these standards are interpreted through the lens of local curriculum frameworks managed by the Victorian Curriculum and Assessment Authority (VCAA). Secondary teachers must align their instructional strategies with state-specific outcomes while adhering to national benchmarks. This dual accountability requires a high degree of professional autonomy coupled with rigorous adherence to regulatory compliance. The APST thus serves not only as a guide for practice but also as a benchmark for performance appraisal and career progression within the Victorian education sector.</w:t>
      </w:r>
    </w:p>
    <w:bookmarkEnd w:id="22"/>
    <w:bookmarkStart w:id="23" w:name="Xc0f12bcfa7d24cc503bcb67c1d2b6659664aeff"/>
    <w:p>
      <w:pPr>
        <w:pStyle w:val="Heading3"/>
      </w:pPr>
      <w:r>
        <w:t xml:space="preserve">Digital Pedagogy and Technological Integration</w:t>
      </w:r>
    </w:p>
    <w:p>
      <w:pPr>
        <w:pStyle w:val="FirstParagraph"/>
      </w:pPr>
      <w:r>
        <w:t xml:space="preserve">The acceleration of digital technology in education, hastened by global events such as the pandemic, has fundamentally altered the role of the secondary teacher. In Melbourne schools, there is a widespread implementation of Learning Management Systems (LMS) such as Google Classroom and Microsoft Teams. However, effective integration goes beyond merely uploading resources. Secondary teachers are required to curate digital content that promotes critical thinking and digital literacy.</w:t>
      </w:r>
    </w:p>
    <w:p>
      <w:pPr>
        <w:pStyle w:val="BodyText"/>
      </w:pPr>
      <w:r>
        <w:t xml:space="preserve">Educators in Melbourne report that technology serves as a bridge for diverse learners, allowing for personalized learning pathways. For instance, English teachers may utilize multimedia platforms to engage students with varying levels of literacy, while mathematics instructors use adaptive software to provide real-time feedback. Despite these benefits, the burden of constant technological update and troubleshooting adds to the workload of secondary teachers. Professional development in Melbourne has increasingly focused on equipping educators with the skills to navigate this digital landscape effectively, ensuring that technology enhances rather than hinders pedagogical effectiveness.</w:t>
      </w:r>
    </w:p>
    <w:bookmarkEnd w:id="23"/>
    <w:bookmarkStart w:id="24" w:name="mental-health-support-and-pastoral-care"/>
    <w:p>
      <w:pPr>
        <w:pStyle w:val="Heading3"/>
      </w:pPr>
      <w:r>
        <w:t xml:space="preserve">Mental Health Support and Pastoral Care</w:t>
      </w:r>
    </w:p>
    <w:p>
      <w:pPr>
        <w:pStyle w:val="FirstParagraph"/>
      </w:pPr>
      <w:r>
        <w:t xml:space="preserve">A critical aspect of the modern secondary teacher’s role is pastoral care. Adolescence is a period marked by significant emotional and psychological development, and Melbourne schools have recognized that academic success is inextricably linked to student well-being. Secondary teachers are often the first point of contact for students experiencing anxiety, depression, or social difficulties.</w:t>
      </w:r>
    </w:p>
    <w:p>
      <w:pPr>
        <w:pStyle w:val="BodyText"/>
      </w:pPr>
      <w:r>
        <w:t xml:space="preserve">In response to rising mental health concerns among adolescents in Australia, there has been a push for increased collaboration between teaching staff and school psychologists. In Melbourne secondary colleges, teachers are expected to identify early signs of distress and refer students to specialized support services. This shift reflects a broader understanding that the classroom is not just an academic space but a social environment where emotional safety is paramount. The expectation for teachers to possess basic counseling skills underscores the holistic nature of their role, requiring empathy, active listening, and resilience.</w:t>
      </w:r>
    </w:p>
    <w:bookmarkEnd w:id="24"/>
    <w:bookmarkStart w:id="25" w:name="X94762d0fd7f90173771b85b39bec5d755b95a28"/>
    <w:p>
      <w:pPr>
        <w:pStyle w:val="Heading3"/>
      </w:pPr>
      <w:r>
        <w:t xml:space="preserve">Cultural Diversity and Inclusive Education</w:t>
      </w:r>
    </w:p>
    <w:p>
      <w:pPr>
        <w:pStyle w:val="FirstParagraph"/>
      </w:pPr>
      <w:r>
        <w:t xml:space="preserve">Melbourne is renowned for its multicultural fabric, with a significant proportion of students coming from non-English speaking backgrounds (NESB). For secondary teachers in this region, fostering an inclusive classroom environment is essential. This involves adapting instructional methods to accommodate diverse linguistic and cultural needs without lowering academic expectations.</w:t>
      </w:r>
    </w:p>
    <w:p>
      <w:pPr>
        <w:pStyle w:val="BodyText"/>
      </w:pPr>
      <w:r>
        <w:t xml:space="preserve">Teachers employ strategies such as visual scaffolding, peer collaboration, and culturally responsive pedagogy to ensure equitable access to the curriculum. Professional learning communities in Melbourne schools frequently discuss case studies related to inclusion, sharing best practices for engaging migrant and refugee students. The role of the secondary teacher here is that of a cultural mediator who validates student identities while promoting social cohesion. This aspect of teaching is particularly challenging as it requires ongoing reflection on bias and privilege, ensuring that all students feel valued and represented in their education.</w:t>
      </w:r>
    </w:p>
    <w:bookmarkEnd w:id="25"/>
    <w:bookmarkStart w:id="26" w:name="challenges-and-professional-well-being"/>
    <w:p>
      <w:pPr>
        <w:pStyle w:val="Heading3"/>
      </w:pPr>
      <w:r>
        <w:t xml:space="preserve">Challenges and Professional Well-being</w:t>
      </w:r>
    </w:p>
    <w:p>
      <w:pPr>
        <w:pStyle w:val="FirstParagraph"/>
      </w:pPr>
      <w:r>
        <w:t xml:space="preserve">Despite the rewarding nature of their work, secondary teachers in Melbourne face significant professional challenges. High caseloads, administrative burdens, and societal pressures contribute to stress levels that can lead to burnout. The expansion of responsibilities outlined in the APST often outpaces the support provided by school administrations.</w:t>
      </w:r>
    </w:p>
    <w:p>
      <w:pPr>
        <w:pStyle w:val="BodyText"/>
      </w:pPr>
      <w:r>
        <w:t xml:space="preserve">Recent reports from the Victorian Department of Education highlight the need for improved working conditions and mental health support for educators. Initiatives such as reduced administrative duties and enhanced peer mentoring programs are being implemented to address these issues. However, there is a consensus that systemic change is required to sustain the workforce. Recognizing teacher well-being as a prerequisite for student success is crucial for the long-term viability of secondary education in Australia.</w:t>
      </w:r>
    </w:p>
    <w:bookmarkEnd w:id="26"/>
    <w:bookmarkStart w:id="27" w:name="conclusion"/>
    <w:p>
      <w:pPr>
        <w:pStyle w:val="Heading3"/>
      </w:pPr>
      <w:r>
        <w:t xml:space="preserve">Conclusion</w:t>
      </w:r>
    </w:p>
    <w:p>
      <w:pPr>
        <w:pStyle w:val="FirstParagraph"/>
      </w:pPr>
      <w:r>
        <w:t xml:space="preserve">The role of the secondary teacher in Melbourne, and by extension across Australia, has evolved into a complex and demanding profession. It requires individuals to be adept educators, compassionate mentors, technological integrators, and cultural advocates. The Australian Professional Standards for Teachers provide a robust framework for this multifaceted role, but the practical implementation demands continuous adaptation and support.</w:t>
      </w:r>
    </w:p>
    <w:p>
      <w:pPr>
        <w:pStyle w:val="BodyText"/>
      </w:pPr>
      <w:r>
        <w:t xml:space="preserve">As Melbourne’s schools continue to navigate demographic shifts and educational reforms, the importance of investing in teacher professional development cannot be overstated. Future research should explore longitudinal outcomes related to teacher well-being strategies and their impact on student achievement. By acknowledging the comprehensive nature of the secondary teacher’s role, policymakers and school leaders can better support these professionals in fulfilling their vital mission: to empower every student to reach their full potential.</w:t>
      </w:r>
    </w:p>
    <w:bookmarkEnd w:id="27"/>
    <w:bookmarkStart w:id="28" w:name="references"/>
    <w:p>
      <w:pPr>
        <w:pStyle w:val="Heading3"/>
      </w:pPr>
      <w:r>
        <w:t xml:space="preserve">References</w:t>
      </w:r>
    </w:p>
    <w:p>
      <w:pPr>
        <w:numPr>
          <w:ilvl w:val="0"/>
          <w:numId w:val="1001"/>
        </w:numPr>
        <w:pStyle w:val="Compact"/>
      </w:pPr>
      <w:r>
        <w:t xml:space="preserve">Australian Institute for Teaching and School Leadership (AITSL). (2017).</w:t>
      </w:r>
      <w:r>
        <w:t xml:space="preserve"> </w:t>
      </w:r>
      <w:r>
        <w:rPr>
          <w:iCs/>
          <w:i/>
        </w:rPr>
        <w:t xml:space="preserve">Australian Professional Standards for Teachers</w:t>
      </w:r>
      <w:r>
        <w:t xml:space="preserve">. Canberra: AITSL.</w:t>
      </w:r>
    </w:p>
    <w:p>
      <w:pPr>
        <w:numPr>
          <w:ilvl w:val="0"/>
          <w:numId w:val="1001"/>
        </w:numPr>
        <w:pStyle w:val="Compact"/>
      </w:pPr>
      <w:r>
        <w:t xml:space="preserve">Department of Education, Victoria. (2023).</w:t>
      </w:r>
      <w:r>
        <w:t xml:space="preserve"> </w:t>
      </w:r>
      <w:r>
        <w:rPr>
          <w:iCs/>
          <w:i/>
        </w:rPr>
        <w:t xml:space="preserve">Teaching Excellence Strategy 2023-2034</w:t>
      </w:r>
      <w:r>
        <w:t xml:space="preserve">. Melbourne: State Government of Victoria.</w:t>
      </w:r>
    </w:p>
    <w:p>
      <w:pPr>
        <w:numPr>
          <w:ilvl w:val="0"/>
          <w:numId w:val="1001"/>
        </w:numPr>
        <w:pStyle w:val="Compact"/>
      </w:pPr>
      <w:r>
        <w:t xml:space="preserve">Keddie, A. (2019). "Rethinking Pedagogy for Social Justice in a Multicultural Australia."</w:t>
      </w:r>
      <w:r>
        <w:t xml:space="preserve"> </w:t>
      </w:r>
      <w:r>
        <w:rPr>
          <w:iCs/>
          <w:i/>
        </w:rPr>
        <w:t xml:space="preserve">Australian Journal of Education</w:t>
      </w:r>
      <w:r>
        <w:t xml:space="preserve">, 63(2), 112-128.</w:t>
      </w:r>
    </w:p>
    <w:p>
      <w:pPr>
        <w:numPr>
          <w:ilvl w:val="0"/>
          <w:numId w:val="1001"/>
        </w:numPr>
        <w:pStyle w:val="Compact"/>
      </w:pPr>
      <w:r>
        <w:t xml:space="preserve">Lipowsky, F., et al. (2020). "Teacher Professional Development and Student Outcomes: A Meta-Analysis."</w:t>
      </w:r>
      <w:r>
        <w:t xml:space="preserve"> </w:t>
      </w:r>
      <w:r>
        <w:rPr>
          <w:iCs/>
          <w:i/>
        </w:rPr>
        <w:t xml:space="preserve">Journal of Educational Psychology</w:t>
      </w:r>
      <w:r>
        <w:t xml:space="preserve">, 112(4), 789-805.</w:t>
      </w:r>
    </w:p>
    <w:p>
      <w:pPr>
        <w:numPr>
          <w:ilvl w:val="0"/>
          <w:numId w:val="1001"/>
        </w:numPr>
        <w:pStyle w:val="Compact"/>
      </w:pPr>
      <w:r>
        <w:t xml:space="preserve">Smyth, J. (2018). "The Complexities of Teaching in a High-Stakes Accountability Environment."</w:t>
      </w:r>
      <w:r>
        <w:t xml:space="preserve"> </w:t>
      </w:r>
      <w:r>
        <w:rPr>
          <w:iCs/>
          <w:i/>
        </w:rPr>
        <w:t xml:space="preserve">Educational Review</w:t>
      </w:r>
      <w:r>
        <w:t xml:space="preserve">, 70(3), 345-362.</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Secondary Teachers in the Australian Educational Landscape: A Melbourne Case Study</dc:title>
  <dc:creator/>
  <dc:language>en</dc:language>
  <cp:keywords/>
  <dcterms:created xsi:type="dcterms:W3CDTF">2026-07-29T05:51:59Z</dcterms:created>
  <dcterms:modified xsi:type="dcterms:W3CDTF">2026-07-29T05:51:59Z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