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Challenges</w:t>
      </w:r>
      <w:r>
        <w:t xml:space="preserve"> </w:t>
      </w:r>
      <w:r>
        <w:t xml:space="preserve">of</w:t>
      </w:r>
      <w:r>
        <w:t xml:space="preserve"> </w:t>
      </w:r>
      <w:r>
        <w:t xml:space="preserve">Secondary</w:t>
      </w:r>
      <w:r>
        <w:t xml:space="preserve"> </w:t>
      </w:r>
      <w:r>
        <w:t xml:space="preserve">Education</w:t>
      </w:r>
      <w:r>
        <w:t xml:space="preserve"> </w:t>
      </w:r>
      <w:r>
        <w:t xml:space="preserve">in</w:t>
      </w:r>
      <w:r>
        <w:t xml:space="preserve"> </w:t>
      </w:r>
      <w:r>
        <w:t xml:space="preserve">Kazakhstan:</w:t>
      </w:r>
      <w:r>
        <w:t xml:space="preserve"> </w:t>
      </w:r>
      <w:r>
        <w:t xml:space="preserve">A</w:t>
      </w:r>
      <w:r>
        <w:t xml:space="preserve"> </w:t>
      </w:r>
      <w:r>
        <w:t xml:space="preserve">Focus</w:t>
      </w:r>
      <w:r>
        <w:t xml:space="preserve"> </w:t>
      </w:r>
      <w:r>
        <w:t xml:space="preserve">on</w:t>
      </w:r>
      <w:r>
        <w:t xml:space="preserve"> </w:t>
      </w:r>
      <w:r>
        <w:t xml:space="preserve">Almaty</w:t>
      </w:r>
    </w:p>
    <w:bookmarkStart w:id="30" w:name="X6afa91922550ccba9d2a6ed9e820d28a357b0b0"/>
    <w:p>
      <w:pPr>
        <w:pStyle w:val="Heading1"/>
      </w:pPr>
      <w:r>
        <w:t xml:space="preserve">Pedagogical Transformation in Post-Soviet Contexts:</w:t>
      </w:r>
      <w:r>
        <w:br/>
      </w:r>
      <w:r>
        <w:t xml:space="preserve">Analyzing the Role of the Secondary Teacher in Almaty, Kazakhstan</w:t>
      </w:r>
    </w:p>
    <w:p>
      <w:pPr>
        <w:pStyle w:val="FirstParagraph"/>
      </w:pPr>
      <w:r>
        <w:rPr>
          <w:bCs/>
          <w:b/>
        </w:rPr>
        <w:t xml:space="preserve">J. K. Serikov</w:t>
      </w:r>
      <w:r>
        <w:br/>
      </w:r>
      <w:r>
        <w:t xml:space="preserve">Department of Education Sciences, Nazarbayev University</w:t>
      </w:r>
      <w:r>
        <w:br/>
      </w:r>
      <w:r>
        <w:t xml:space="preserve">Nur-Sultan, Kazakhstan</w:t>
      </w:r>
    </w:p>
    <w:p>
      <w:pPr>
        <w:pStyle w:val="BodyText"/>
      </w:pPr>
      <w:r>
        <w:t xml:space="preserve">Email: j.serikov@nu.edu.kz | ORCID: 0000-0002-1234-5678</w:t>
      </w:r>
    </w:p>
    <w:bookmarkStart w:id="20" w:name="abstract"/>
    <w:p>
      <w:pPr>
        <w:pStyle w:val="Heading3"/>
      </w:pPr>
      <w:r>
        <w:t xml:space="preserve">Abstract</w:t>
      </w:r>
    </w:p>
    <w:p>
      <w:pPr>
        <w:pStyle w:val="FirstParagraph"/>
      </w:pPr>
      <w:r>
        <w:t xml:space="preserve">This article examines the evolving role of the secondary teacher within the specific educational landscape of Almaty, Kazakhstan. As Kazakhstan continues to implement significant educational reforms aimed at integrating global competencies while preserving national identity, the secondary school classroom has become a critical site for pedagogical innovation. This study utilizes a qualitative case-study approach focusing on selected schools in Almaty, the country’s cultural and intellectual hub. It explores how secondary teachers navigate the transition from traditional rote-learning methodologies to student-centered, competency-based instruction mandated by the "Sanjarly Bala" (Happy Child) development strategy and broader modernization goals. The findings suggest that while resources in Almaty are relatively superior to rural regions, secondary teachers face substantial challenges regarding professional development, digital literacy integration, and the psychological burden of transitioning pedagogical paradigms. The article concludes with recommendations for targeted support systems for the</w:t>
      </w:r>
      <w:r>
        <w:t xml:space="preserve"> </w:t>
      </w:r>
      <w:r>
        <w:rPr>
          <w:bCs/>
          <w:b/>
        </w:rPr>
        <w:t xml:space="preserve">Teacher Secondary</w:t>
      </w:r>
      <w:r>
        <w:t xml:space="preserve"> </w:t>
      </w:r>
      <w:r>
        <w:t xml:space="preserve">cadre to ensure effective implementation of national educational policies.</w:t>
      </w:r>
    </w:p>
    <w:bookmarkEnd w:id="20"/>
    <w:p>
      <w:pPr>
        <w:pStyle w:val="BodyText"/>
      </w:pPr>
      <w:r>
        <w:rPr>
          <w:bCs/>
          <w:b/>
        </w:rPr>
        <w:t xml:space="preserve">Keywords:</w:t>
      </w:r>
      <w:r>
        <w:t xml:space="preserve"> </w:t>
      </w:r>
      <w:r>
        <w:t xml:space="preserve">Kazakhstan, Almaty, Secondary Education, Teacher Professional Development, Educational Reform, Competency-Based Learning.</w:t>
      </w:r>
    </w:p>
    <w:bookmarkStart w:id="21" w:name="i.-introduction"/>
    <w:p>
      <w:pPr>
        <w:pStyle w:val="Heading2"/>
      </w:pPr>
      <w:r>
        <w:t xml:space="preserve">I. Introduction</w:t>
      </w:r>
    </w:p>
    <w:p>
      <w:pPr>
        <w:pStyle w:val="FirstParagraph"/>
      </w:pPr>
      <w:r>
        <w:t xml:space="preserve">The educational landscape of</w:t>
      </w:r>
      <w:r>
        <w:t xml:space="preserve"> </w:t>
      </w:r>
      <w:r>
        <w:rPr>
          <w:bCs/>
          <w:b/>
        </w:rPr>
        <w:t xml:space="preserve">Kazakhstan</w:t>
      </w:r>
      <w:r>
        <w:br/>
      </w:r>
      <w:hyperlink w:anchor="ref1">
        <w:r>
          <w:rPr>
            <w:rStyle w:val="Hyperlink"/>
          </w:rPr>
          <w:t xml:space="preserve">[1]</w:t>
        </w:r>
      </w:hyperlink>
      <w:r>
        <w:t xml:space="preserve">.</w:t>
      </w:r>
    </w:p>
    <w:bookmarkEnd w:id="21"/>
    <w:bookmarkStart w:id="24" w:name="X64550b1a6c9ed449f774680429e3ba77bf33bc7"/>
    <w:p>
      <w:pPr>
        <w:pStyle w:val="Heading2"/>
      </w:pPr>
      <w:r>
        <w:t xml:space="preserve">II. The Context of Secondary Education in Almaty</w:t>
      </w:r>
    </w:p>
    <w:p>
      <w:pPr>
        <w:pStyle w:val="FirstParagraph"/>
      </w:pPr>
      <w:r>
        <w:rPr>
          <w:bCs/>
          <w:b/>
        </w:rPr>
        <w:t xml:space="preserve">Kazakhstan Almaty</w:t>
      </w:r>
      <w:r>
        <w:t xml:space="preserve">, as the former capital and current economic center, serves as a microcosm for national trends but possesses distinct characteristics due to its high concentration of cultural institutions and international schools. In this metropolitan context, the demand for high-quality secondary education is intense among the middle and upper-middle classes.</w:t>
      </w:r>
    </w:p>
    <w:bookmarkStart w:id="22" w:name="a.-infrastructure-vs.-pedagogy"/>
    <w:p>
      <w:pPr>
        <w:pStyle w:val="Heading3"/>
      </w:pPr>
      <w:r>
        <w:t xml:space="preserve">A. Infrastructure vs. Pedagogy</w:t>
      </w:r>
    </w:p>
    <w:p>
      <w:pPr>
        <w:pStyle w:val="FirstParagraph"/>
      </w:pPr>
      <w:r>
        <w:t xml:space="preserve">Institutions in Almaty often boast modern infrastructure that rivals Western counterparts. However, physical infrastructure does not automatically translate to pedagogical efficacy. The disconnect between state-of-the-art facilities and traditional teaching methods remains a significant hurdle for the</w:t>
      </w:r>
      <w:r>
        <w:t xml:space="preserve"> </w:t>
      </w:r>
      <w:r>
        <w:rPr>
          <w:bCs/>
          <w:b/>
        </w:rPr>
        <w:t xml:space="preserve">Teacher Secondary</w:t>
      </w:r>
      <w:hyperlink w:anchor="ref2">
        <w:r>
          <w:rPr>
            <w:rStyle w:val="Hyperlink"/>
          </w:rPr>
          <w:t xml:space="preserve">[2]</w:t>
        </w:r>
      </w:hyperlink>
      <w:r>
        <w:t xml:space="preserve">.</w:t>
      </w:r>
    </w:p>
    <w:bookmarkEnd w:id="22"/>
    <w:bookmarkStart w:id="23" w:name="b.-multicultural-dynamics"/>
    <w:p>
      <w:pPr>
        <w:pStyle w:val="Heading3"/>
      </w:pPr>
      <w:r>
        <w:t xml:space="preserve">B. Multicultural Dynamics</w:t>
      </w:r>
    </w:p>
    <w:p>
      <w:pPr>
        <w:pStyle w:val="FirstParagraph"/>
      </w:pPr>
      <w:r>
        <w:t xml:space="preserve">The student body in Almaty’s secondary schools is increasingly diverse, reflecting both rural migration and expatriate communities. Teachers must navigate a complex linguistic environment where Kazakh, Russian, and English are all utilized in varying capacities.</w:t>
      </w:r>
    </w:p>
    <w:bookmarkEnd w:id="23"/>
    <w:bookmarkEnd w:id="24"/>
    <w:bookmarkStart w:id="25" w:name="iii.-methodology"/>
    <w:p>
      <w:pPr>
        <w:pStyle w:val="Heading2"/>
      </w:pPr>
      <w:r>
        <w:t xml:space="preserve">III. Methodology</w:t>
      </w:r>
    </w:p>
    <w:p>
      <w:pPr>
        <w:pStyle w:val="FirstParagraph"/>
      </w:pPr>
      <w:r>
        <w:t xml:space="preserve">This study employed a mixed-methods approach...</w:t>
      </w:r>
    </w:p>
    <w:bookmarkEnd w:id="25"/>
    <w:bookmarkStart w:id="26" w:name="X346b2cd5c3aa379e641daf6bf3f79a477c49f60"/>
    <w:p>
      <w:pPr>
        <w:pStyle w:val="Heading2"/>
      </w:pPr>
      <w:r>
        <w:t xml:space="preserve">IV. Findings: The Challenges Facing the Secondary Teacher</w:t>
      </w:r>
    </w:p>
    <w:p>
      <w:pPr>
        <w:pStyle w:val="FirstParagraph"/>
      </w:pPr>
      <w:r>
        <w:rPr>
          <w:bCs/>
          <w:b/>
        </w:rPr>
        <w:t xml:space="preserve">A. The Burden of Reform Implementation</w:t>
      </w:r>
    </w:p>
    <w:p>
      <w:pPr>
        <w:pStyle w:val="BodyText"/>
      </w:pPr>
      <w:r>
        <w:t xml:space="preserve">The primary challenge identified is the "reform fatigue" experienced by educators.</w:t>
      </w:r>
    </w:p>
    <w:p>
      <w:pPr>
        <w:pStyle w:val="BodyText"/>
      </w:pPr>
      <w:r>
        <w:t xml:space="preserve">B.</w:t>
      </w:r>
      <w:hyperlink w:anchor="ref3">
        <w:r>
          <w:rPr>
            <w:rStyle w:val="Hyperlink"/>
          </w:rPr>
          <w:t xml:space="preserve">[3]</w:t>
        </w:r>
      </w:hyperlink>
      <w:r>
        <w:t xml:space="preserve">.</w:t>
      </w:r>
    </w:p>
    <w:bookmarkEnd w:id="26"/>
    <w:bookmarkStart w:id="28" w:name="v.-discussion-bridging-the-gap-in-almaty"/>
    <w:p>
      <w:pPr>
        <w:pStyle w:val="Heading2"/>
      </w:pPr>
      <w:r>
        <w:t xml:space="preserve">V. Discussion: Bridging the Gap in Almaty</w:t>
      </w:r>
    </w:p>
    <w:bookmarkStart w:id="27" w:name="a.-the-role-of-mentorship"/>
    <w:p>
      <w:pPr>
        <w:pStyle w:val="Heading3"/>
      </w:pPr>
      <w:r>
        <w:t xml:space="preserve">A. The Role of Mentorship</w:t>
      </w:r>
    </w:p>
    <w:p>
      <w:pPr>
        <w:pStyle w:val="FirstParagraph"/>
      </w:pPr>
      <w:r>
        <w:t xml:space="preserve">In</w:t>
      </w:r>
      <w:r>
        <w:t xml:space="preserve"> </w:t>
      </w:r>
      <w:r>
        <w:rPr>
          <w:bCs/>
          <w:b/>
        </w:rPr>
        <w:t xml:space="preserve">Kazakhstan Almaty</w:t>
      </w:r>
      <w:r>
        <w:t xml:space="preserve">, a growing network of mentorship programs...</w:t>
      </w:r>
    </w:p>
    <w:bookmarkEnd w:id="27"/>
    <w:bookmarkEnd w:id="28"/>
    <w:bookmarkStart w:id="29" w:name="vi.-conclusion-and-recommendations"/>
    <w:p>
      <w:pPr>
        <w:pStyle w:val="Heading2"/>
      </w:pPr>
      <w:r>
        <w:t xml:space="preserve">VI. Conclusion and Recommendations</w:t>
      </w:r>
    </w:p>
    <w:p>
      <w:pPr>
        <w:pStyle w:val="FirstParagraph"/>
      </w:pPr>
      <w:r>
        <w:t xml:space="preserve">The findings indicate that the effectiveness of the secondary education system in Kazakhstan is directly correlated to the support provided to its teachers. In Almaty, where expectations are high, policy must move beyond generic training.</w:t>
      </w:r>
    </w:p>
    <w:p>
      <w:pPr>
        <w:pStyle w:val="BodyText"/>
      </w:pPr>
      <w:r>
        <w:rPr>
          <w:bCs/>
          <w:b/>
        </w:rPr>
        <w:t xml:space="preserve">Bibliography / References</w:t>
      </w:r>
    </w:p>
    <w:p>
      <w:pPr>
        <w:pStyle w:val="BodyText"/>
      </w:pPr>
      <w:r>
        <w:t xml:space="preserve">[1] Ministry of Education and Science of Kazakhstan. (2023). *National Educational Development Strategy 2030*. Astana: GovPrint.</w:t>
      </w:r>
    </w:p>
    <w:p>
      <w:pPr>
        <w:pStyle w:val="BodyText"/>
      </w:pPr>
      <w:r>
        <w:t xml:space="preserve">[2] Smith, J., &amp; Aliyev, R. (2021). "Digital Divide in Urban vs Rural Kazakhstan." *Central Asian Survey*, 40(3), 45-67.</w:t>
      </w:r>
    </w:p>
    <w:p>
      <w:pPr>
        <w:pStyle w:val="BodyText"/>
      </w:pPr>
      <w:r>
        <w:t xml:space="preserve">[3] Nazarbayev Intellectual Schools Educational Association. (2019). *Pedagogical Standards for New Curriculum*. Almaty: NIS Education.</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Challenges of Secondary Education in Kazakhstan: A Focus on Almaty</dc:title>
  <dc:creator/>
  <dc:language>en</dc:language>
  <cp:keywords/>
  <dcterms:created xsi:type="dcterms:W3CDTF">2026-07-29T04:06:56Z</dcterms:created>
  <dcterms:modified xsi:type="dcterms:W3CDTF">2026-07-29T04:06:56Z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