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Kuwait</w:t>
      </w:r>
      <w:r>
        <w:t xml:space="preserve"> </w:t>
      </w:r>
      <w:r>
        <w:t xml:space="preserve">City:</w:t>
      </w:r>
      <w:r>
        <w:t xml:space="preserve"> </w:t>
      </w:r>
      <w:r>
        <w:t xml:space="preserve">Challenges</w:t>
      </w:r>
      <w:r>
        <w:t xml:space="preserve"> </w:t>
      </w:r>
      <w:r>
        <w:t xml:space="preserve">and</w:t>
      </w:r>
      <w:r>
        <w:t xml:space="preserve"> </w:t>
      </w:r>
      <w:r>
        <w:t xml:space="preserve">Strategic</w:t>
      </w:r>
      <w:r>
        <w:t xml:space="preserve"> </w:t>
      </w:r>
      <w:r>
        <w:t xml:space="preserve">Imperatives</w:t>
      </w:r>
    </w:p>
    <w:bookmarkStart w:id="29" w:name="X781bc2e58b868d7d83c02e76a7595bb26252a14"/>
    <w:p>
      <w:pPr>
        <w:pStyle w:val="Heading1"/>
      </w:pPr>
      <w:r>
        <w:t xml:space="preserve">The Pedagogical Evolution of Secondary Education in Kuwait City: Challenges and Strategic Imperatives</w:t>
      </w:r>
    </w:p>
    <w:p>
      <w:pPr>
        <w:pStyle w:val="FirstParagraph"/>
      </w:pPr>
      <w:r>
        <w:rPr>
          <w:bCs/>
          <w:b/>
        </w:rPr>
        <w:t xml:space="preserve">An Analysis of the Role, Responsibilities, and Future Trajectory of the Modern Teacher in Secondary Institutions within Kuwait City</w:t>
      </w:r>
    </w:p>
    <w:p>
      <w:pPr>
        <w:pStyle w:val="BodyText"/>
      </w:pPr>
      <w:r>
        <w:rPr>
          <w:iCs/>
          <w:i/>
        </w:rPr>
        <w:t xml:space="preserve">Journal of Middle Eastern Educational Studies | Vol. 42, Issue 3 | Fall 2023</w:t>
      </w:r>
    </w:p>
    <w:bookmarkStart w:id="20" w:name="abstract"/>
    <w:p>
      <w:pPr>
        <w:pStyle w:val="Heading2"/>
      </w:pPr>
      <w:r>
        <w:t xml:space="preserve">Abstract</w:t>
      </w:r>
    </w:p>
    <w:p>
      <w:pPr>
        <w:pStyle w:val="FirstParagraph"/>
      </w:pPr>
      <w:r>
        <w:t xml:space="preserve">This article examines the multifaceted role of the secondary teacher within the rapidly evolving educational landscape of Kuwait City. As Kuwait pursues its Vision 2035, which emphasizes knowledge-based economic development and human capital enhancement, the secondary school teacher has emerged as a critical agent of change. This paper explores the pedagogical shifts required to transition from traditional rote learning to competency-based education, analyzes the socio-cultural expectations placed upon educators in Kuwait City’s diverse urban environment, and proposes strategic frameworks for professional development. The study argues that empowering the secondary teacher through technological integration, cultural sensitivity training, and autonomous decision-making is essential for fostering a generation capable of competing in a globalized economy.</w:t>
      </w:r>
    </w:p>
    <w:bookmarkEnd w:id="20"/>
    <w:bookmarkStart w:id="21" w:name="introduction"/>
    <w:p>
      <w:pPr>
        <w:pStyle w:val="Heading2"/>
      </w:pPr>
      <w:r>
        <w:t xml:space="preserve">Introduction</w:t>
      </w:r>
    </w:p>
    <w:p>
      <w:pPr>
        <w:pStyle w:val="FirstParagraph"/>
      </w:pPr>
      <w:r>
        <w:t xml:space="preserve">The educational ecosystem of Kuwait City stands at a pivotal juncture. Historically characterized by an expansionary phase focused on infrastructure development and mass enrollment, the current paradigm shift prioritizes quality, innovation, and relevance. At the heart of this transformation lies the secondary teacher. In Kuwait City, a metropolis that serves as the administrative and cultural capital of Kuwait City State, secondary schools are not merely institutions of academic instruction but are hubs where national identity intersects with global modernity.</w:t>
      </w:r>
    </w:p>
    <w:p>
      <w:pPr>
        <w:pStyle w:val="BodyText"/>
      </w:pPr>
      <w:r>
        <w:t xml:space="preserve">The role of the teacher in this context has expanded significantly. No longer confined to the transmission of factual knowledge, today’s educator in Kuwait City must function as a facilitator, mentor, and digital guide. This paper aims to dissect these evolving responsibilities, highlighting the unique challenges faced by educators in Kuwait City and offering recommendations for systemic support.</w:t>
      </w:r>
    </w:p>
    <w:bookmarkEnd w:id="21"/>
    <w:bookmarkStart w:id="22" w:name="X5275d673cfda2c3acef574d62e98af23bdb4ba9"/>
    <w:p>
      <w:pPr>
        <w:pStyle w:val="Heading2"/>
      </w:pPr>
      <w:r>
        <w:t xml:space="preserve">The Pedagogical Shift: From Transmission to Transformation</w:t>
      </w:r>
    </w:p>
    <w:p>
      <w:pPr>
        <w:pStyle w:val="FirstParagraph"/>
      </w:pPr>
      <w:r>
        <w:t xml:space="preserve">A primary challenge facing the secondary teacher in Kuwait City is the transition from traditional pedagogical methods to student-centered learning models. The Ministry of Education has increasingly emphasized critical thinking, creativity, and collaboration—skills deemed essential for the 21st-century workforce. However, implementing these concepts requires a profound shift in mindset among educators.</w:t>
      </w:r>
    </w:p>
    <w:p>
      <w:pPr>
        <w:numPr>
          <w:ilvl w:val="0"/>
          <w:numId w:val="1001"/>
        </w:numPr>
        <w:pStyle w:val="Compact"/>
      </w:pPr>
      <w:r>
        <w:rPr>
          <w:bCs/>
          <w:b/>
        </w:rPr>
        <w:t xml:space="preserve">Inquiry-Based Learning:</w:t>
      </w:r>
      <w:r>
        <w:t xml:space="preserve"> </w:t>
      </w:r>
      <w:r>
        <w:t xml:space="preserve">Teachers are encouraged to move beyond textbook lecturing. In classrooms across Kuwait City, there is a growing emphasis on project-based learning where students engage with real-world problems relevant to their local context.</w:t>
      </w:r>
    </w:p>
    <w:p>
      <w:pPr>
        <w:numPr>
          <w:ilvl w:val="0"/>
          <w:numId w:val="1001"/>
        </w:numPr>
        <w:pStyle w:val="Compact"/>
      </w:pPr>
      <w:r>
        <w:rPr>
          <w:bCs/>
          <w:b/>
        </w:rPr>
        <w:t xml:space="preserve">Differentiated Instruction:</w:t>
      </w:r>
      <w:r>
        <w:t xml:space="preserve"> </w:t>
      </w:r>
      <w:r>
        <w:t xml:space="preserve">Given the diverse linguistic and academic backgrounds of students in Kuwait City’s secondary schools, teachers must adapt their instruction to meet varied learning needs. This requires robust training in diagnostic assessment and adaptive teaching strategies.</w:t>
      </w:r>
    </w:p>
    <w:p>
      <w:pPr>
        <w:numPr>
          <w:ilvl w:val="0"/>
          <w:numId w:val="1001"/>
        </w:numPr>
        <w:pStyle w:val="Compact"/>
      </w:pPr>
      <w:r>
        <w:rPr>
          <w:bCs/>
          <w:b/>
        </w:rPr>
        <w:t xml:space="preserve">Cultural Contextualization:</w:t>
      </w:r>
      <w:r>
        <w:t xml:space="preserve"> </w:t>
      </w:r>
      <w:r>
        <w:t xml:space="preserve">While embracing global educational standards, teachers in Kuwait City must ensure that curriculum content remains relevant to Islamic values and Arab heritage. This balance is delicate; the teacher acts as a cultural mediator, ensuring that modernity does not eclipse tradition.</w:t>
      </w:r>
    </w:p>
    <w:bookmarkEnd w:id="22"/>
    <w:bookmarkStart w:id="23" w:name="the-impact-of-digital-transformation"/>
    <w:p>
      <w:pPr>
        <w:pStyle w:val="Heading2"/>
      </w:pPr>
      <w:r>
        <w:t xml:space="preserve">The Impact of Digital Transformation</w:t>
      </w:r>
    </w:p>
    <w:p>
      <w:pPr>
        <w:pStyle w:val="FirstParagraph"/>
      </w:pPr>
      <w:r>
        <w:t xml:space="preserve">Kuwait City has seen rapid technological adoption in its educational sector. The integration of smart boards, learning management systems (LMS), and artificial intelligence tools into secondary classrooms is reshaping the teacher’s role. For the secondary teacher, digital literacy is no longer optional; it is a core competency.</w:t>
      </w:r>
    </w:p>
    <w:p>
      <w:pPr>
        <w:pStyle w:val="BodyText"/>
      </w:pPr>
      <w:r>
        <w:t xml:space="preserve">However, access to technology does not guarantee effective integration. Many teachers in Kuwait City report feeling overwhelmed by the pace of technological change. There is a pressing need for continuous professional development that goes beyond basic technical skills to include pedagogical strategies for digital engagement. Teachers must learn how to curate digital content, facilitate online collaboration, and maintain academic integrity in an era of easy access to information.</w:t>
      </w:r>
    </w:p>
    <w:bookmarkEnd w:id="23"/>
    <w:bookmarkStart w:id="24" w:name="socio-emotional-support-and-mentorship"/>
    <w:p>
      <w:pPr>
        <w:pStyle w:val="Heading2"/>
      </w:pPr>
      <w:r>
        <w:t xml:space="preserve">Socio-Emotional Support and Mentorship</w:t>
      </w:r>
    </w:p>
    <w:p>
      <w:pPr>
        <w:pStyle w:val="FirstParagraph"/>
      </w:pPr>
      <w:r>
        <w:t xml:space="preserve">In the bustling urban environment of Kuwait City, adolescents face unique psychosocial pressures. The secondary teacher often assumes the role of a mentor, providing support that extends beyond academic achievement. This includes guiding students through identity formation, career planning, and social navigation.</w:t>
      </w:r>
    </w:p>
    <w:p>
      <w:pPr>
        <w:pStyle w:val="BodyText"/>
      </w:pPr>
      <w:r>
        <w:t xml:space="preserve">The high-stakes nature of public examinations in Kuwait City places immense pressure on both students and teachers. Teachers are increasingly expected to provide psycho-social support, identifying signs of anxiety or disengagement early. This holistic approach requires a collaborative school culture where teachers can share best practices and receive emotional backing from administration.</w:t>
      </w:r>
    </w:p>
    <w:bookmarkEnd w:id="24"/>
    <w:bookmarkStart w:id="25" w:name="X6ab5151373fc314113b62d75625bae723c6cd97"/>
    <w:p>
      <w:pPr>
        <w:pStyle w:val="Heading2"/>
      </w:pPr>
      <w:r>
        <w:t xml:space="preserve">Challenges Facing the Secondary Teacher in Kuwait City</w:t>
      </w:r>
    </w:p>
    <w:p>
      <w:pPr>
        <w:pStyle w:val="FirstParagraph"/>
      </w:pPr>
      <w:r>
        <w:t xml:space="preserve">Despite the progress made, several structural challenges impede the effectiveness of educators in Kuwait City:</w:t>
      </w:r>
    </w:p>
    <w:p>
      <w:pPr>
        <w:numPr>
          <w:ilvl w:val="0"/>
          <w:numId w:val="1002"/>
        </w:numPr>
        <w:pStyle w:val="Compact"/>
      </w:pPr>
      <w:r>
        <w:rPr>
          <w:bCs/>
          <w:b/>
        </w:rPr>
        <w:t xml:space="preserve">Bureaucratic Constraints:</w:t>
      </w:r>
      <w:r>
        <w:t xml:space="preserve">Rigid administrative structures can limit teacher autonomy. Teachers often report spending excessive time on compliance-related tasks rather than instructional planning.</w:t>
      </w:r>
    </w:p>
    <w:p>
      <w:pPr>
        <w:numPr>
          <w:ilvl w:val="0"/>
          <w:numId w:val="1002"/>
        </w:numPr>
        <w:pStyle w:val="Compact"/>
      </w:pPr>
      <w:r>
        <w:rPr>
          <w:bCs/>
          <w:b/>
        </w:rPr>
        <w:t xml:space="preserve">Resource Disparities:</w:t>
      </w:r>
      <w:r>
        <w:t xml:space="preserve"> </w:t>
      </w:r>
      <w:r>
        <w:t xml:space="preserve">While Kuwait City is well-resourced compared to other regions, there are still disparities in the quality of facilities and support staff between different secondary schools.</w:t>
      </w:r>
    </w:p>
    <w:p>
      <w:pPr>
        <w:numPr>
          <w:ilvl w:val="0"/>
          <w:numId w:val="1002"/>
        </w:numPr>
        <w:pStyle w:val="Compact"/>
      </w:pPr>
      <w:r>
        <w:rPr>
          <w:bCs/>
          <w:b/>
        </w:rPr>
        <w:t xml:space="preserve">Cultural Resistance to Change:</w:t>
      </w:r>
      <w:r>
        <w:t xml:space="preserve">In some segments of society, traditional views on education persist, creating tension for teachers who attempt to implement innovative methods. Parents may expect a more authoritarian or lecture-based approach, requiring teachers to navigate complex stakeholder relationships.</w:t>
      </w:r>
    </w:p>
    <w:bookmarkEnd w:id="25"/>
    <w:bookmarkStart w:id="26" w:name="strategic-recommendations"/>
    <w:p>
      <w:pPr>
        <w:pStyle w:val="Heading2"/>
      </w:pPr>
      <w:r>
        <w:t xml:space="preserve">Strategic Recommendations</w:t>
      </w:r>
    </w:p>
    <w:p>
      <w:pPr>
        <w:pStyle w:val="FirstParagraph"/>
      </w:pPr>
      <w:r>
        <w:t xml:space="preserve">To fully realize the potential of the secondary teacher in Kuwait City, several strategic interventions are proposed:</w:t>
      </w:r>
    </w:p>
    <w:p>
      <w:pPr>
        <w:numPr>
          <w:ilvl w:val="0"/>
          <w:numId w:val="1003"/>
        </w:numPr>
        <w:pStyle w:val="Compact"/>
      </w:pPr>
      <w:r>
        <w:rPr>
          <w:bCs/>
          <w:b/>
        </w:rPr>
        <w:t xml:space="preserve">Rigorous Pre-Service and In-Service Training:</w:t>
      </w:r>
      <w:r>
        <w:t xml:space="preserve">Educational faculties must align curricula with current classroom realities. Continuous professional development should focus on pedagogical innovation, digital integration, and socio-emotional learning techniques.</w:t>
      </w:r>
    </w:p>
    <w:p>
      <w:pPr>
        <w:numPr>
          <w:ilvl w:val="0"/>
          <w:numId w:val="1003"/>
        </w:numPr>
        <w:pStyle w:val="Compact"/>
      </w:pPr>
      <w:r>
        <w:rPr>
          <w:bCs/>
          <w:b/>
        </w:rPr>
        <w:t xml:space="preserve">Enhanced Teacher Autonomy:</w:t>
      </w:r>
      <w:r>
        <w:t xml:space="preserve"> </w:t>
      </w:r>
      <w:r>
        <w:t xml:space="preserve">Schools in Kuwait City should grant teachers greater decision-making power regarding curriculum adaptation and assessment methods. This empowerment fosters a sense of ownership and professional pride.</w:t>
      </w:r>
    </w:p>
    <w:p>
      <w:pPr>
        <w:numPr>
          <w:ilvl w:val="0"/>
          <w:numId w:val="1003"/>
        </w:numPr>
        <w:pStyle w:val="Compact"/>
      </w:pPr>
      <w:r>
        <w:rPr>
          <w:bCs/>
          <w:b/>
        </w:rPr>
        <w:t xml:space="preserve">Collaborative Professional Learning Communities (PLCs):</w:t>
      </w:r>
      <w:r>
        <w:t xml:space="preserve">Fostering networks among teachers across Kuwait City can facilitate the sharing of successful practices and peer support. PLCs should be institutionalized as part of the school week, allowing dedicated time for collaborative planning.</w:t>
      </w:r>
    </w:p>
    <w:p>
      <w:pPr>
        <w:numPr>
          <w:ilvl w:val="0"/>
          <w:numId w:val="1003"/>
        </w:numPr>
        <w:pStyle w:val="Compact"/>
      </w:pPr>
      <w:r>
        <w:rPr>
          <w:bCs/>
          <w:b/>
        </w:rPr>
        <w:t xml:space="preserve">Recognition and Incentivization:</w:t>
      </w:r>
      <w:r>
        <w:t xml:space="preserve">The government must enhance the status of teaching through competitive compensation and career progression pathways that recognize excellence in pedagogy, not just seniority.</w:t>
      </w:r>
    </w:p>
    <w:bookmarkEnd w:id="26"/>
    <w:bookmarkStart w:id="27" w:name="conclusion"/>
    <w:p>
      <w:pPr>
        <w:pStyle w:val="Heading2"/>
      </w:pPr>
      <w:r>
        <w:t xml:space="preserve">Conclusion</w:t>
      </w:r>
    </w:p>
    <w:p>
      <w:pPr>
        <w:pStyle w:val="FirstParagraph"/>
      </w:pPr>
      <w:r>
        <w:t xml:space="preserve">The secondary teacher in Kuwait City is a cornerstone of the nation’s educational future. As Kuwait City continues to develop as a global hub for finance, culture, and education, the demand for high-quality teaching will only increase. By addressing the challenges of pedagogical transition, technological integration, and socio-emotional support through strategic policy interventions, stakeholders can empower teachers to fulfill their expanded roles.</w:t>
      </w:r>
    </w:p>
    <w:p>
      <w:pPr>
        <w:pStyle w:val="BodyText"/>
      </w:pPr>
      <w:r>
        <w:t xml:space="preserve">The transformation of secondary education is not merely an administrative task but a societal imperative. The teacher in Kuwait City must be viewed not just as an employee of the state, but as a partner in nation-building. Investing in their professional growth and well-being is the most effective strategy for ensuring that Kuwait’s youth are equipped with the knowledge, skills, and values necessary to thrive in an unpredictable future.</w:t>
      </w:r>
    </w:p>
    <w:bookmarkEnd w:id="27"/>
    <w:bookmarkStart w:id="28" w:name="references"/>
    <w:p>
      <w:pPr>
        <w:pStyle w:val="Heading2"/>
      </w:pPr>
      <w:r>
        <w:t xml:space="preserve">References</w:t>
      </w:r>
    </w:p>
    <w:p>
      <w:pPr>
        <w:numPr>
          <w:ilvl w:val="0"/>
          <w:numId w:val="1004"/>
        </w:numPr>
        <w:pStyle w:val="Compact"/>
      </w:pPr>
      <w:r>
        <w:t xml:space="preserve">- Ministry of Education Kuwait. (2023). Strategic Plan for Educational Development in Kuwait City.</w:t>
      </w:r>
    </w:p>
    <w:p>
      <w:pPr>
        <w:numPr>
          <w:ilvl w:val="0"/>
          <w:numId w:val="1004"/>
        </w:numPr>
        <w:pStyle w:val="Compact"/>
      </w:pPr>
      <w:r>
        <w:t xml:space="preserve">- Al-Awadi, S. &amp; Al-Shamsi, M. (2021). "Digital Literacy among Secondary Teachers in the GCC: A Comparative Study." Journal of Arab Educational Research.</w:t>
      </w:r>
    </w:p>
    <w:p>
      <w:pPr>
        <w:numPr>
          <w:ilvl w:val="0"/>
          <w:numId w:val="1004"/>
        </w:numPr>
        <w:pStyle w:val="Compact"/>
      </w:pPr>
      <w:r>
        <w:t xml:space="preserve">- Kuwait Vision 2035: New Kuwait Executive Office. (2019). The National Development Plan.</w:t>
      </w:r>
    </w:p>
    <w:p>
      <w:pPr>
        <w:numPr>
          <w:ilvl w:val="0"/>
          <w:numId w:val="1004"/>
        </w:numPr>
        <w:pStyle w:val="Compact"/>
      </w:pPr>
      <w:r>
        <w:t xml:space="preserve">- Hattab, L. (2018). "Language Policy and Education in the Gulf: The Case of English in Kuwait City." International Journal of Bilingual Education and Bilingualism.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Secondary Education in Kuwait City: Challenges and Strategic Imperatives</dc:title>
  <dc:creator/>
  <dc:language>en</dc:language>
  <cp:keywords/>
  <dcterms:created xsi:type="dcterms:W3CDTF">2026-07-29T03:54:08Z</dcterms:created>
  <dcterms:modified xsi:type="dcterms:W3CDTF">2026-07-29T03:54:08Z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