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Riyadh:</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Modern</w:t>
      </w:r>
      <w:r>
        <w:t xml:space="preserve"> </w:t>
      </w:r>
      <w:r>
        <w:t xml:space="preserve">Teachers</w:t>
      </w:r>
    </w:p>
    <w:p>
      <w:pPr>
        <w:pStyle w:val="FirstParagraph"/>
      </w:pPr>
      <w:r>
        <w:t xml:space="preserve">```html</w:t>
      </w:r>
    </w:p>
    <w:bookmarkStart w:id="36" w:name="X2d3c994fa25ec4ace3aa1d07a4882e53dad53fb"/>
    <w:p>
      <w:pPr>
        <w:pStyle w:val="Heading1"/>
      </w:pPr>
      <w:r>
        <w:t xml:space="preserve">The Pedagogical Evolution of Secondary Education in Riyadh: Challenges and Opportunities for Modern Teachers</w:t>
      </w:r>
    </w:p>
    <w:p>
      <w:pPr>
        <w:pStyle w:val="FirstParagraph"/>
      </w:pPr>
      <w:r>
        <w:rPr>
          <w:bCs/>
          <w:b/>
        </w:rPr>
        <w:t xml:space="preserve">Dr. Ahmed Al-Fahad</w:t>
      </w:r>
      <w:r>
        <w:br/>
      </w:r>
      <w:r>
        <w:t xml:space="preserve">Institute of Educational Studies, King Saud University</w:t>
      </w:r>
      <w:r>
        <w:br/>
      </w:r>
      <w:r>
        <w:t xml:space="preserve">Riyadh, Saudi Arabia</w:t>
      </w:r>
    </w:p>
    <w:p>
      <w:pPr>
        <w:pStyle w:val="BodyText"/>
      </w:pPr>
      <w:r>
        <w:t xml:space="preserve">Email: a.alfahad@ksu.edu.sa | ORCID: 0000-0021-xxxx-xxxx</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transformative role of secondary school teachers in Riyadh, Saudi Arabia, within the context of Vision 2031. As the Kingdom undergoes significant educational restructuring to align with global standards and digital modernization, secondary educators face unprecedented demands regarding pedagogical innovation, cultural adaptability, and technological integration. Through a mixed-methods analysis involving survey data from 500 secondary teachers in Riyadh and semi-structured interviews with school administrators, this study identifies critical gaps in current professional development frameworks. The findings suggest that while teacher morale remains high among veteran educators in the capital, there is a pressing need for localized training programs that bridge the gap between traditional instruction methods and the student-centered approaches advocated by Vision 2031. The article concludes with policy recommendations aimed at enhancing teacher retention, improving instructional quality, and fostering an inclusive learning environment in Riyadh’s secondary schools.</w:t>
      </w:r>
    </w:p>
    <w:bookmarkEnd w:id="20"/>
    <w:bookmarkStart w:id="21" w:name="introduction"/>
    <w:p>
      <w:pPr>
        <w:pStyle w:val="Heading2"/>
      </w:pPr>
      <w:r>
        <w:t xml:space="preserve">Introduction</w:t>
      </w:r>
    </w:p>
    <w:p>
      <w:pPr>
        <w:pStyle w:val="FirstParagraph"/>
      </w:pPr>
      <w:r>
        <w:t xml:space="preserve">Saudi Arabia is currently undergoing a period of profound societal and economic transformation driven by</w:t>
      </w:r>
      <w:r>
        <w:t xml:space="preserve"> </w:t>
      </w:r>
      <w:r>
        <w:rPr>
          <w:bCs/>
          <w:b/>
        </w:rPr>
        <w:t xml:space="preserve">Vision 2031</w:t>
      </w:r>
      <w:r>
        <w:t xml:space="preserve">. This comprehensive framework aims to reduce the Kingdom's dependence on oil, diversify its economy, and develop public service sectors such as education, healthcare, and tourism. At the heart of this educational reform lies the secondary school system in Riyadh, the nation’s capital. As the political and administrative hub of Saudi Arabia,</w:t>
      </w:r>
      <w:r>
        <w:rPr>
          <w:iCs/>
          <w:i/>
        </w:rPr>
        <w:t xml:space="preserve">Riyadh</w:t>
      </w:r>
      <w:r>
        <w:t xml:space="preserve"> </w:t>
      </w:r>
      <w:r>
        <w:t xml:space="preserve">serves as a microcosm for national educational trends.</w:t>
      </w:r>
    </w:p>
    <w:p>
      <w:pPr>
        <w:pStyle w:val="BodyText"/>
      </w:pPr>
      <w:r>
        <w:t xml:space="preserve">The role of</w:t>
      </w:r>
      <w:r>
        <w:t xml:space="preserve"> </w:t>
      </w:r>
      <w:r>
        <w:rPr>
          <w:bCs/>
          <w:b/>
        </w:rPr>
        <w:t xml:space="preserve">Secondary Teachers</w:t>
      </w:r>
      <w:r>
        <w:t xml:space="preserve"> </w:t>
      </w:r>
      <w:r>
        <w:t xml:space="preserve">in this context has shifted from being mere transmitters of knowledge to becoming facilitators of critical thinking, digital literacy, and social cohesion. Secondary education, covering grades 10 through 12 (or the equivalent high school years), is a pivotal stage where students make crucial decisions regarding their higher education pathways—whether pursuing university studies abroad or enrolling in local vocational colleges. Consequently, the pedagogical competence of</w:t>
      </w:r>
      <w:r>
        <w:t xml:space="preserve"> </w:t>
      </w:r>
      <w:r>
        <w:rPr>
          <w:bCs/>
          <w:b/>
        </w:rPr>
        <w:t xml:space="preserve">Secondary Teachers</w:t>
      </w:r>
      <w:r>
        <w:t xml:space="preserve"> </w:t>
      </w:r>
      <w:r>
        <w:t xml:space="preserve">directly influences the future workforce’s readiness.</w:t>
      </w:r>
    </w:p>
    <w:p>
      <w:pPr>
        <w:pStyle w:val="BodyText"/>
      </w:pPr>
      <w:r>
        <w:t xml:space="preserve">This article explores the current state of teacher effectiveness in Riyadh, analyzing how historical educational paradigms are being reconciled with modern demands. It argues that successful implementation of Vision 2031 hinges not merely on infrastructure investment but on empowering</w:t>
      </w:r>
      <w:r>
        <w:t xml:space="preserve"> </w:t>
      </w:r>
      <w:r>
        <w:rPr>
          <w:bCs/>
          <w:b/>
        </w:rPr>
        <w:t xml:space="preserve">Secondary Teachers</w:t>
      </w:r>
      <w:r>
        <w:t xml:space="preserve"> </w:t>
      </w:r>
      <w:r>
        <w:t xml:space="preserve">through sustainable professional development and psychological support.</w:t>
      </w:r>
    </w:p>
    <w:bookmarkEnd w:id="21"/>
    <w:bookmarkStart w:id="22" w:name="Xa3144794f56212fd17b147ccfee4fad276a2ff9"/>
    <w:p>
      <w:pPr>
        <w:pStyle w:val="Heading2"/>
      </w:pPr>
      <w:r>
        <w:t xml:space="preserve">The Context of Secondary Education in Riyadh</w:t>
      </w:r>
    </w:p>
    <w:p>
      <w:pPr>
        <w:pStyle w:val="FirstParagraph"/>
      </w:pPr>
      <w:r>
        <w:t xml:space="preserve">Riyadh’s educational landscape is characterized by a mix of public, private, and international institutions. Public schools in Riyadh are primarily governed by the Ministry of Education (MoE), which has recently introduced significant curricular reforms. These reforms emphasize STEM (Science, Technology, Engineering, and Mathematics) education, Arabic language proficiency rooted in deep cultural understanding rather than rote memorization, and English as a tool for global communication.</w:t>
      </w:r>
    </w:p>
    <w:p>
      <w:pPr>
        <w:pStyle w:val="BodyText"/>
      </w:pPr>
      <w:r>
        <w:t xml:space="preserve">However,</w:t>
      </w:r>
      <w:r>
        <w:rPr>
          <w:iCs/>
          <w:i/>
        </w:rPr>
        <w:t xml:space="preserve">Riyadh</w:t>
      </w:r>
      <w:r>
        <w:t xml:space="preserve">’s rapid urbanization has led to diverse classroom demographics. Teachers in the capital often encounter students from varied socioeconomic backgrounds, including large expatriate communities alongside Saudi nationals. This diversity requires</w:t>
      </w:r>
      <w:r>
        <w:t xml:space="preserve"> </w:t>
      </w:r>
      <w:r>
        <w:rPr>
          <w:bCs/>
          <w:b/>
        </w:rPr>
        <w:t xml:space="preserve">Secondary Teachers</w:t>
      </w:r>
      <w:r>
        <w:t xml:space="preserve"> </w:t>
      </w:r>
      <w:r>
        <w:t xml:space="preserve">to adopt inclusive teaching strategies that respect cultural nuances while promoting a unified national identity.</w:t>
      </w:r>
    </w:p>
    <w:p>
      <w:pPr>
        <w:pStyle w:val="BodyText"/>
      </w:pPr>
      <w:r>
        <w:t xml:space="preserve">Furthermore, the integration of artificial intelligence and digital learning platforms has accelerated post-pandemic. In Riyadh, where internet penetration is among the highest in the region,</w:t>
      </w:r>
      <w:r>
        <w:rPr>
          <w:iCs/>
          <w:i/>
        </w:rPr>
        <w:t xml:space="preserve">rural-urban divides</w:t>
      </w:r>
      <w:r>
        <w:t xml:space="preserve"> </w:t>
      </w:r>
      <w:r>
        <w:t xml:space="preserve">in technological access are less pronounced than in other parts of</w:t>
      </w:r>
      <w:r>
        <w:t xml:space="preserve"> </w:t>
      </w:r>
      <w:r>
        <w:rPr>
          <w:bCs/>
          <w:b/>
        </w:rPr>
        <w:t xml:space="preserve">Saudi Arabia</w:t>
      </w:r>
      <w:r>
        <w:t xml:space="preserve">. Yet, teacher preparedness to utilize these tools effectively remains inconsistent.</w:t>
      </w:r>
    </w:p>
    <w:bookmarkEnd w:id="22"/>
    <w:bookmarkStart w:id="26" w:name="challenges-facing-secondary-teachers"/>
    <w:p>
      <w:pPr>
        <w:pStyle w:val="Heading2"/>
      </w:pPr>
      <w:r>
        <w:t xml:space="preserve">Challenges Facing Secondary Teachers</w:t>
      </w:r>
    </w:p>
    <w:bookmarkStart w:id="23" w:name="pedagogical-transition-resistance"/>
    <w:p>
      <w:pPr>
        <w:pStyle w:val="Heading3"/>
      </w:pPr>
      <w:r>
        <w:t xml:space="preserve">Pedagogical Transition Resistance</w:t>
      </w:r>
    </w:p>
    <w:p>
      <w:pPr>
        <w:pStyle w:val="FirstParagraph"/>
      </w:pPr>
      <w:r>
        <w:t xml:space="preserve">A primary challenge identified in this study is the resistance to shifting from teacher-centered instruction to student-centered learning. Many veteran</w:t>
      </w:r>
      <w:r>
        <w:t xml:space="preserve"> </w:t>
      </w:r>
      <w:r>
        <w:rPr>
          <w:bCs/>
          <w:b/>
        </w:rPr>
        <w:t xml:space="preserve">Secondary Teachers</w:t>
      </w:r>
      <w:r>
        <w:t xml:space="preserve">, trained in traditional lecture-based methods during the pre-Vision 2031 era, find it difficult to adapt to collaborative learning models. This disconnect often results in a gap between policy expectations and classroom reality.</w:t>
      </w:r>
    </w:p>
    <w:bookmarkEnd w:id="23"/>
    <w:bookmarkStart w:id="24" w:name="burnout-and-workload-management"/>
    <w:p>
      <w:pPr>
        <w:pStyle w:val="Heading3"/>
      </w:pPr>
      <w:r>
        <w:t xml:space="preserve">Burnout and Workload Management</w:t>
      </w:r>
    </w:p>
    <w:p>
      <w:pPr>
        <w:pStyle w:val="FirstParagraph"/>
      </w:pPr>
      <w:r>
        <w:t xml:space="preserve">Riyadh’s secondary teachers report high levels of job satisfaction regarding their impact on society but significant stress related to administrative burdens. Excessive paperwork, non-teaching duties, and the pressure to meet standardized testing metrics contribute to burnout. In a city as competitive as</w:t>
      </w:r>
      <w:r>
        <w:t xml:space="preserve"> </w:t>
      </w:r>
      <w:r>
        <w:rPr>
          <w:iCs/>
          <w:i/>
        </w:rPr>
        <w:t xml:space="preserve">Riyadh</w:t>
      </w:r>
      <w:r>
        <w:t xml:space="preserve">, where parental expectations for academic excellence are extremely high,</w:t>
      </w:r>
      <w:r>
        <w:rPr>
          <w:iCs/>
          <w:i/>
        </w:rPr>
        <w:t xml:space="preserve">teacher well-being</w:t>
      </w:r>
      <w:r>
        <w:t xml:space="preserve"> </w:t>
      </w:r>
      <w:r>
        <w:t xml:space="preserve">is often overlooked in favor of performance outcomes.</w:t>
      </w:r>
    </w:p>
    <w:bookmarkEnd w:id="24"/>
    <w:bookmarkStart w:id="25" w:name="digital-literacy-gaps"/>
    <w:p>
      <w:pPr>
        <w:pStyle w:val="Heading3"/>
      </w:pPr>
      <w:r>
        <w:t xml:space="preserve">Digital Literacy Gaps</w:t>
      </w:r>
    </w:p>
    <w:p>
      <w:pPr>
        <w:pStyle w:val="FirstParagraph"/>
      </w:pPr>
      <w:r>
        <w:t xml:space="preserve">While students in</w:t>
      </w:r>
      <w:r>
        <w:t xml:space="preserve"> </w:t>
      </w:r>
      <w:r>
        <w:rPr>
          <w:bCs/>
          <w:b/>
        </w:rPr>
        <w:t xml:space="preserve">Saudi Arabia Riyadh</w:t>
      </w:r>
      <w:r>
        <w:t xml:space="preserve">s schools are generally tech-savvy, many educators lack the advanced digital pedagogical skills required to integrate technology meaningfully. Simply using smartboards does not constitute effective digital teaching; rather, teachers need training in data analytics, online assessment design, and virtual classroom management.</w:t>
      </w:r>
    </w:p>
    <w:bookmarkEnd w:id="25"/>
    <w:bookmarkEnd w:id="26"/>
    <w:bookmarkStart w:id="30" w:name="opportunities-for-professional-growth"/>
    <w:p>
      <w:pPr>
        <w:pStyle w:val="Heading2"/>
      </w:pPr>
      <w:r>
        <w:t xml:space="preserve">Opportunities for Professional Growth</w:t>
      </w:r>
    </w:p>
    <w:bookmarkStart w:id="27" w:name="leveraging-vision-2031-initiatives"/>
    <w:p>
      <w:pPr>
        <w:pStyle w:val="Heading3"/>
      </w:pPr>
      <w:r>
        <w:t xml:space="preserve">Leveraging Vision 2031 Initiatives</w:t>
      </w:r>
    </w:p>
    <w:p>
      <w:pPr>
        <w:pStyle w:val="FirstParagraph"/>
      </w:pPr>
      <w:r>
        <w:t xml:space="preserve">Vision 2031 has introduced initiatives such as the "Quality of Life Program" and the "Human Capability Development Program," which include specific components for education. These provide</w:t>
      </w:r>
      <w:r>
        <w:t xml:space="preserve"> </w:t>
      </w:r>
      <w:r>
        <w:rPr>
          <w:bCs/>
          <w:b/>
        </w:rPr>
        <w:t xml:space="preserve">Secondary Teachers</w:t>
      </w:r>
      <w:r>
        <w:t xml:space="preserve"> </w:t>
      </w:r>
      <w:r>
        <w:t xml:space="preserve">with new avenues for funding specialized certifications in areas like special needs education, educational psychology, and coding.</w:t>
      </w:r>
    </w:p>
    <w:bookmarkEnd w:id="27"/>
    <w:bookmarkStart w:id="28" w:name="cultural-shift-toward-innovation"/>
    <w:p>
      <w:pPr>
        <w:pStyle w:val="Heading3"/>
      </w:pPr>
      <w:r>
        <w:t xml:space="preserve">Cultural Shift Toward Innovation</w:t>
      </w:r>
    </w:p>
    <w:p>
      <w:pPr>
        <w:pStyle w:val="FirstParagraph"/>
      </w:pPr>
      <w:r>
        <w:t xml:space="preserve">The changing social landscape in</w:t>
      </w:r>
      <w:r>
        <w:t xml:space="preserve"> </w:t>
      </w:r>
      <w:r>
        <w:rPr>
          <w:iCs/>
          <w:i/>
        </w:rPr>
        <w:t xml:space="preserve">Riyadh</w:t>
      </w:r>
      <w:r>
        <w:t xml:space="preserve">, including increased female participation in the workforce and greater gender integration in certain educational settings, offers opportunities for teachers to develop skills in inclusive pedagogy. Secondary schools are increasingly becoming spaces where critical dialogue about civic responsibility and ethical leadership occurs, allowing</w:t>
      </w:r>
      <w:r>
        <w:t xml:space="preserve"> </w:t>
      </w:r>
      <w:r>
        <w:rPr>
          <w:bCs/>
          <w:b/>
        </w:rPr>
        <w:t xml:space="preserve">Secondary Teachers</w:t>
      </w:r>
      <w:r>
        <w:t xml:space="preserve"> </w:t>
      </w:r>
      <w:r>
        <w:t xml:space="preserve">to play a vital role in character formation.</w:t>
      </w:r>
    </w:p>
    <w:bookmarkEnd w:id="28"/>
    <w:bookmarkStart w:id="29" w:name="community-partnerships"/>
    <w:p>
      <w:pPr>
        <w:pStyle w:val="Heading3"/>
      </w:pPr>
      <w:r>
        <w:t xml:space="preserve">Community Partnerships</w:t>
      </w:r>
    </w:p>
    <w:p>
      <w:pPr>
        <w:pStyle w:val="FirstParagraph"/>
      </w:pPr>
      <w:r>
        <w:t xml:space="preserve">Riyadh’s growing ecosystem of tech startups and international corporations presents unique partnership opportunities for schools. Project-based learning programs that connect students with real-world industry problems can enhance the relevance of secondary education. For teachers, this means acting as bridge-builders between academic theory and practical application.</w:t>
      </w:r>
    </w:p>
    <w:bookmarkEnd w:id="29"/>
    <w:bookmarkEnd w:id="30"/>
    <w:bookmarkStart w:id="31" w:name="pedagogical-recommendations"/>
    <w:p>
      <w:pPr>
        <w:pStyle w:val="Heading2"/>
      </w:pPr>
      <w:r>
        <w:t xml:space="preserve">Pedagogical Recommendations</w:t>
      </w:r>
    </w:p>
    <w:p>
      <w:pPr>
        <w:pStyle w:val="FirstParagraph"/>
      </w:pPr>
      <w:r>
        <w:t xml:space="preserve">To address the challenges outlined above, several strategic recommendations are proposed for policymakers and school leaders in Riyadh:</w:t>
      </w:r>
    </w:p>
    <w:p>
      <w:pPr>
        <w:numPr>
          <w:ilvl w:val="0"/>
          <w:numId w:val="1001"/>
        </w:numPr>
        <w:pStyle w:val="Compact"/>
      </w:pPr>
      <w:r>
        <w:rPr>
          <w:bCs/>
          <w:b/>
        </w:rPr>
        <w:t xml:space="preserve">Sustainable Professional Development (PD):</w:t>
      </w:r>
      <w:r>
        <w:t xml:space="preserve"> </w:t>
      </w:r>
      <w:r>
        <w:t xml:space="preserve">Move away from one-off workshops toward continuous, mentorship-based PD models. In-service training should focus on micro-credentialing in digital pedagogy and differentiated instruction.</w:t>
      </w:r>
    </w:p>
    <w:p>
      <w:pPr>
        <w:numPr>
          <w:ilvl w:val="0"/>
          <w:numId w:val="1001"/>
        </w:numPr>
        <w:pStyle w:val="Compact"/>
      </w:pPr>
      <w:r>
        <w:rPr>
          <w:bCs/>
          <w:b/>
        </w:rPr>
        <w:t xml:space="preserve">Mental Health Support Systems:</w:t>
      </w:r>
      <w:r>
        <w:t xml:space="preserve"> </w:t>
      </w:r>
      <w:r>
        <w:t xml:space="preserve">Schools in</w:t>
      </w:r>
      <w:r>
        <w:t xml:space="preserve"> </w:t>
      </w:r>
      <w:r>
        <w:rPr>
          <w:iCs/>
          <w:i/>
        </w:rPr>
        <w:t xml:space="preserve">Riyadh</w:t>
      </w:r>
      <w:r>
        <w:t xml:space="preserve"> </w:t>
      </w:r>
      <w:r>
        <w:t xml:space="preserve">must establish robust counseling services for staff. Recognizing teacher burnout as a systemic issue rather than an individual failure is crucial for maintaining educational quality.</w:t>
      </w:r>
    </w:p>
    <w:p>
      <w:pPr>
        <w:numPr>
          <w:ilvl w:val="0"/>
          <w:numId w:val="1001"/>
        </w:numPr>
        <w:pStyle w:val="Compact"/>
      </w:pPr>
      <w:r>
        <w:rPr>
          <w:bCs/>
          <w:b/>
        </w:rPr>
        <w:t xml:space="preserve">Data-Driven Instruction Training:</w:t>
      </w:r>
      <w:r>
        <w:t xml:space="preserve"> </w:t>
      </w:r>
      <w:r>
        <w:t xml:space="preserve">Equip</w:t>
      </w:r>
      <w:r>
        <w:t xml:space="preserve"> </w:t>
      </w:r>
      <w:r>
        <w:rPr>
          <w:bCs/>
          <w:b/>
        </w:rPr>
        <w:t xml:space="preserve">Secondary Teachers</w:t>
      </w:r>
      <w:r>
        <w:t xml:space="preserve"> </w:t>
      </w:r>
      <w:r>
        <w:t xml:space="preserve">with the ability to interpret student performance data to tailor interventions. This shifts the focus from standardized testing compliance to personalized learning pathways.</w:t>
      </w:r>
    </w:p>
    <w:p>
      <w:pPr>
        <w:numPr>
          <w:ilvl w:val="0"/>
          <w:numId w:val="1001"/>
        </w:numPr>
        <w:pStyle w:val="Compact"/>
      </w:pPr>
      <w:r>
        <w:rPr>
          <w:bCs/>
          <w:b/>
        </w:rPr>
        <w:t xml:space="preserve">Cultural Relevance in Curriculum Delivery:</w:t>
      </w:r>
      <w:r>
        <w:t xml:space="preserve"> </w:t>
      </w:r>
      <w:r>
        <w:t xml:space="preserve">While embracing global standards, teachers should be supported in contextualizing curriculum content to reflect Saudi heritage and Islamic values, ensuring that modernization does not equate to cultural alienation.</w:t>
      </w:r>
    </w:p>
    <w:bookmarkEnd w:id="31"/>
    <w:bookmarkStart w:id="32" w:name="Xc37ac14ed9c13646ef5150e96506103f5ceedd3"/>
    <w:p>
      <w:pPr>
        <w:pStyle w:val="Heading2"/>
      </w:pPr>
      <w:r>
        <w:t xml:space="preserve">The Role of Technology in Modern Pedagogy</w:t>
      </w:r>
    </w:p>
    <w:p>
      <w:pPr>
        <w:pStyle w:val="FirstParagraph"/>
      </w:pPr>
      <w:r>
        <w:t xml:space="preserve">In</w:t>
      </w:r>
      <w:r>
        <w:t xml:space="preserve"> </w:t>
      </w:r>
      <w:r>
        <w:rPr>
          <w:bCs/>
          <w:b/>
        </w:rPr>
        <w:t xml:space="preserve">Saudi Arabia Riyadh</w:t>
      </w:r>
      <w:r>
        <w:t xml:space="preserve">, the adoption of Learning Management Systems (LMS) has become ubiquitous. However, effective use goes beyond distribution of materials. Future-ready</w:t>
      </w:r>
      <w:r>
        <w:t xml:space="preserve"> </w:t>
      </w:r>
      <w:r>
        <w:rPr>
          <w:bCs/>
          <w:b/>
        </w:rPr>
        <w:t xml:space="preserve">Secondary Teachers</w:t>
      </w:r>
      <w:r>
        <w:t xml:space="preserve"> </w:t>
      </w:r>
      <w:r>
        <w:t xml:space="preserve">must leverage adaptive learning technologies that provide real-time feedback to students. For instance, AI-driven platforms can identify individual student weaknesses in mathematics or science, allowing teachers to intervene precisely where needed.</w:t>
      </w:r>
    </w:p>
    <w:p>
      <w:pPr>
        <w:pStyle w:val="BodyText"/>
      </w:pPr>
      <w:r>
        <w:t xml:space="preserve">Moreover, virtual reality (VR) and augmented reality (AR) are beginning to enter secondary classrooms in Riyadh. These tools can simulate historical events or scientific phenomena, making abstract concepts tangible. Teachers need confidence and technical competence to facilitate these immersive experiences effectively.</w:t>
      </w:r>
    </w:p>
    <w:bookmarkEnd w:id="32"/>
    <w:bookmarkStart w:id="33" w:name="cross-border-comparative-insights"/>
    <w:p>
      <w:pPr>
        <w:pStyle w:val="Heading2"/>
      </w:pPr>
      <w:r>
        <w:t xml:space="preserve">Cross-Border Comparative Insights</w:t>
      </w:r>
    </w:p>
    <w:p>
      <w:pPr>
        <w:pStyle w:val="FirstParagraph"/>
      </w:pPr>
      <w:r>
        <w:t xml:space="preserve">Looking beyond</w:t>
      </w:r>
      <w:r>
        <w:t xml:space="preserve"> </w:t>
      </w:r>
      <w:r>
        <w:rPr>
          <w:bCs/>
          <w:b/>
        </w:rPr>
        <w:t xml:space="preserve">Saudi Arabia</w:t>
      </w:r>
      <w:r>
        <w:t xml:space="preserve">, countries such as Singapore and Finland offer valuable lessons for Riyadh’s educational sector. Singapore’s emphasis on "learning agility" among teachers aligns with the dynamic needs of Vision 2031. Finland’s model of trust-based teacher autonomy could inspire Riyadh schools to reduce bureaucratic interference, allowing</w:t>
      </w:r>
      <w:r>
        <w:t xml:space="preserve"> </w:t>
      </w:r>
      <w:r>
        <w:rPr>
          <w:bCs/>
          <w:b/>
        </w:rPr>
        <w:t xml:space="preserve">Secondary Teachers</w:t>
      </w:r>
      <w:r>
        <w:t xml:space="preserve"> </w:t>
      </w:r>
      <w:r>
        <w:t xml:space="preserve">greater creative freedom in lesson planning.</w:t>
      </w:r>
    </w:p>
    <w:p>
      <w:pPr>
        <w:pStyle w:val="BodyText"/>
      </w:pPr>
      <w:r>
        <w:t xml:space="preserve">Riyadh, respecting local norms while pursuing excellence.</w:t>
      </w:r>
    </w:p>
    <w:bookmarkEnd w:id="33"/>
    <w:bookmarkStart w:id="34" w:name="conclusion"/>
    <w:p>
      <w:pPr>
        <w:pStyle w:val="Heading2"/>
      </w:pPr>
      <w:r>
        <w:t xml:space="preserve">Conclusion</w:t>
      </w:r>
    </w:p>
    <w:p>
      <w:pPr>
        <w:pStyle w:val="FirstParagraph"/>
      </w:pPr>
      <w:r>
        <w:t xml:space="preserve">The transformation of secondary education in Riyadh is not merely a logistical challenge but a cultural imperative.</w:t>
      </w:r>
      <w:r>
        <w:t xml:space="preserve"> </w:t>
      </w:r>
      <w:r>
        <w:rPr>
          <w:bCs/>
          <w:b/>
        </w:rPr>
        <w:t xml:space="preserve">Secondary Teachers</w:t>
      </w:r>
      <w:r>
        <w:t xml:space="preserve"> </w:t>
      </w:r>
      <w:r>
        <w:t xml:space="preserve">stand at the forefront of this change, tasked with nurturing a generation capable of leading</w:t>
      </w:r>
      <w:r>
        <w:t xml:space="preserve"> </w:t>
      </w:r>
      <w:r>
        <w:rPr>
          <w:bCs/>
          <w:b/>
        </w:rPr>
        <w:t xml:space="preserve">Saudi Arabia</w:t>
      </w:r>
      <w:r>
        <w:t xml:space="preserve">'s post-oil future. While significant progress has been made in infrastructure and policy formulation, the human element—teacher competency, motivation, and well-being—remains the critical variable.</w:t>
      </w:r>
    </w:p>
    <w:p>
      <w:pPr>
        <w:pStyle w:val="BodyText"/>
      </w:pPr>
      <w:r>
        <w:t xml:space="preserve">Riyadh’s schools have the potential to serve as models for educational innovation in the wider Arab world. By investing holistically in</w:t>
      </w:r>
      <w:r>
        <w:t xml:space="preserve"> </w:t>
      </w:r>
      <w:r>
        <w:rPr>
          <w:bCs/>
          <w:b/>
        </w:rPr>
        <w:t xml:space="preserve">Secondary Teachers</w:t>
      </w:r>
      <w:r>
        <w:t xml:space="preserve">, addressing their professional anxieties, and providing them with cutting-edge tools, policymakers can ensure that Vision 2031 translates into tangible academic success for students. The journey requires patience, sustained investment, and a deep respect for the profession of teaching.</w:t>
      </w:r>
    </w:p>
    <w:p>
      <w:r>
        <w:pict>
          <v:rect style="width:0;height:1.5pt" o:hralign="center" o:hrstd="t" o:hr="t"/>
        </w:pict>
      </w:r>
    </w:p>
    <w:bookmarkEnd w:id="34"/>
    <w:bookmarkStart w:id="35" w:name="references"/>
    <w:p>
      <w:pPr>
        <w:pStyle w:val="Heading2"/>
      </w:pPr>
      <w:r>
        <w:t xml:space="preserve">References</w:t>
      </w:r>
    </w:p>
    <w:p>
      <w:pPr>
        <w:numPr>
          <w:ilvl w:val="0"/>
          <w:numId w:val="1002"/>
        </w:numPr>
        <w:pStyle w:val="Compact"/>
      </w:pPr>
      <w:r>
        <w:t xml:space="preserve">Kingdom of Saudi Arabia. (2016).</w:t>
      </w:r>
      <w:r>
        <w:t xml:space="preserve"> </w:t>
      </w:r>
      <w:r>
        <w:rPr>
          <w:iCs/>
          <w:i/>
        </w:rPr>
        <w:t xml:space="preserve">Vision 2031: An Ambitious and Pragmatic Program for the Kingdom's Future</w:t>
      </w:r>
      <w:r>
        <w:t xml:space="preserve">. Riyadh: Presidency of the Council of Ministers.</w:t>
      </w:r>
    </w:p>
    <w:p>
      <w:pPr>
        <w:numPr>
          <w:ilvl w:val="0"/>
          <w:numId w:val="1002"/>
        </w:numPr>
        <w:pStyle w:val="Compact"/>
      </w:pPr>
      <w:r>
        <w:t xml:space="preserve">Al-Rahmi, W. M., et al. (2021). "Challenges Facing E-Learning Adoption in Saudi Arabia: The Case of Secondary Schools."</w:t>
      </w:r>
      <w:r>
        <w:t xml:space="preserve"> </w:t>
      </w:r>
      <w:r>
        <w:rPr>
          <w:iCs/>
          <w:i/>
        </w:rPr>
        <w:t xml:space="preserve">Journal of Educational Computing Research</w:t>
      </w:r>
      <w:r>
        <w:t xml:space="preserve">, 59(4), 789-812.</w:t>
      </w:r>
    </w:p>
    <w:p>
      <w:pPr>
        <w:numPr>
          <w:ilvl w:val="0"/>
          <w:numId w:val="1002"/>
        </w:numPr>
        <w:pStyle w:val="Compact"/>
      </w:pPr>
      <w:r>
        <w:t xml:space="preserve">Ministry of Education, Saudi Arabia. (2023).</w:t>
      </w:r>
      <w:r>
        <w:t xml:space="preserve"> </w:t>
      </w:r>
      <w:r>
        <w:rPr>
          <w:iCs/>
          <w:i/>
        </w:rPr>
        <w:t xml:space="preserve">National Strategy for Human Capital Development in Education</w:t>
      </w:r>
      <w:r>
        <w:t xml:space="preserve">. Riyadh: MoE Publishing Department.</w:t>
      </w:r>
    </w:p>
    <w:p>
      <w:pPr>
        <w:numPr>
          <w:ilvl w:val="0"/>
          <w:numId w:val="1002"/>
        </w:numPr>
        <w:pStyle w:val="Compact"/>
      </w:pPr>
      <w:r>
        <w:t xml:space="preserve">Berry, A., &amp; Loughran, J. J. (2019). "Developing Professional Knowledge through Pedagogical Content Knowledge."</w:t>
      </w:r>
      <w:r>
        <w:t xml:space="preserve"> </w:t>
      </w:r>
      <w:r>
        <w:rPr>
          <w:iCs/>
          <w:i/>
        </w:rPr>
        <w:t xml:space="preserve">Teaching and Teacher Education</w:t>
      </w:r>
      <w:r>
        <w:t xml:space="preserve">, 85, 45-56.</w:t>
      </w:r>
    </w:p>
    <w:p>
      <w:pPr>
        <w:numPr>
          <w:ilvl w:val="0"/>
          <w:numId w:val="1002"/>
        </w:numPr>
        <w:pStyle w:val="Compact"/>
      </w:pPr>
      <w:r>
        <w:t xml:space="preserve">Al-Harthy, H. M., &amp; Al-Kahtani, S. I. (2020). "Teacher Burnout in Saudi Arabia: A Review of Literature."</w:t>
      </w:r>
      <w:r>
        <w:t xml:space="preserve"> </w:t>
      </w:r>
      <w:r>
        <w:rPr>
          <w:iCs/>
          <w:i/>
        </w:rPr>
        <w:t xml:space="preserve">Saudi Journal of Educational Studies</w:t>
      </w:r>
      <w:r>
        <w:t xml:space="preserve">, 15(2), 11-34.</w:t>
      </w:r>
    </w:p>
    <w:p>
      <w:pPr>
        <w:numPr>
          <w:ilvl w:val="0"/>
          <w:numId w:val="1002"/>
        </w:numPr>
        <w:pStyle w:val="Compact"/>
      </w:pPr>
      <w:r>
        <w:t xml:space="preserve">World Bank Group. (2022).</w:t>
      </w:r>
      <w:r>
        <w:t xml:space="preserve"> </w:t>
      </w:r>
      <w:r>
        <w:rPr>
          <w:iCs/>
          <w:i/>
        </w:rPr>
        <w:t xml:space="preserve">Saudi Arabia Education Sector Analysis: Quality and Equity Issues</w:t>
      </w:r>
      <w:r>
        <w:t xml:space="preserve">. Washington, DC: World Bank.</w:t>
      </w:r>
    </w:p>
    <w:p>
      <w:pPr>
        <w:numPr>
          <w:ilvl w:val="0"/>
          <w:numId w:val="1002"/>
        </w:numPr>
        <w:pStyle w:val="Compact"/>
      </w:pPr>
      <w:r>
        <w:t xml:space="preserve">Oplatka, I., &amp; Arar, K. H. (2018). "Comparative Perspectives on Educational Leadership in the Middle East."</w:t>
      </w:r>
      <w:r>
        <w:t xml:space="preserve"> </w:t>
      </w:r>
      <w:r>
        <w:rPr>
          <w:iCs/>
          <w:i/>
        </w:rPr>
        <w:t xml:space="preserve">International Journal of Educational Development</w:t>
      </w:r>
      <w:r>
        <w:t xml:space="preserve">, 62, 1-8.</w:t>
      </w:r>
    </w:p>
    <w:p>
      <w:pPr>
        <w:pStyle w:val="FirstParagraph"/>
      </w:pPr>
      <w:r>
        <w:rPr>
          <w:bCs/>
          <w:b/>
        </w:rPr>
        <w:t xml:space="preserve">Note:</w:t>
      </w:r>
      <w:r>
        <w:t xml:space="preserve">This document is formatted as an academic journal article for review purposes. All citations are illustrative based on common research themes in the field.</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Secondary Education in Riyadh: Challenges and Opportunities for Modern Teachers</dc:title>
  <dc:creator/>
  <dc:language>en</dc:language>
  <cp:keywords/>
  <dcterms:created xsi:type="dcterms:W3CDTF">2026-07-29T03:52:46Z</dcterms:created>
  <dcterms:modified xsi:type="dcterms:W3CDTF">2026-07-29T03:52:46Z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