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Navigating</w:t>
      </w:r>
      <w:r>
        <w:t xml:space="preserve"> </w:t>
      </w:r>
      <w:r>
        <w:t xml:space="preserve">Complexity,</w:t>
      </w:r>
      <w:r>
        <w:t xml:space="preserve"> </w:t>
      </w:r>
      <w:r>
        <w:t xml:space="preserve">Diversity,</w:t>
      </w:r>
      <w:r>
        <w:t xml:space="preserve"> </w:t>
      </w:r>
      <w:r>
        <w:t xml:space="preserve">and</w:t>
      </w:r>
      <w:r>
        <w:t xml:space="preserve"> </w:t>
      </w:r>
      <w:r>
        <w:t xml:space="preserve">Accountability</w:t>
      </w:r>
    </w:p>
    <w:bookmarkStart w:id="32" w:name="X5210b7ea887245f6d00ea3a0c1e52ae7c9f0798"/>
    <w:p>
      <w:pPr>
        <w:pStyle w:val="Heading1"/>
      </w:pPr>
      <w:r>
        <w:t xml:space="preserve">The Evolving Role of the Secondary Teacher in United Kingdom London:</w:t>
      </w:r>
      <w:r>
        <w:br/>
      </w:r>
      <w:r>
        <w:t xml:space="preserve">Navigating Complexity, Diversity, and Accountability</w:t>
      </w:r>
    </w:p>
    <w:p>
      <w:pPr>
        <w:pStyle w:val="FirstParagraph"/>
      </w:pPr>
      <w:r>
        <w:rPr>
          <w:bCs/>
          <w:b/>
        </w:rPr>
        <w:t xml:space="preserve">Author:</w:t>
      </w:r>
      <w:r>
        <w:br/>
      </w:r>
      <w:r>
        <w:t xml:space="preserve">J. A. Sterling</w:t>
      </w:r>
      <w:r>
        <w:br/>
      </w:r>
      <w:r>
        <w:t xml:space="preserve">Institute of Education, University College London</w:t>
      </w:r>
    </w:p>
    <w:bookmarkStart w:id="20" w:name="abstract"/>
    <w:p>
      <w:pPr>
        <w:pStyle w:val="Heading3"/>
      </w:pPr>
      <w:r>
        <w:t xml:space="preserve">Abstract</w:t>
      </w:r>
    </w:p>
    <w:p>
      <w:pPr>
        <w:pStyle w:val="FirstParagraph"/>
      </w:pPr>
      <w:r>
        <w:t xml:space="preserve">This article examines the multifaceted role of the secondary teacher within the distinct educational landscape of United Kingdom London. Unlike other regions in England, London presents a unique confluence of high diversity, intense socioeconomic variation, and rigorous accountability measures. Through a critical review of recent pedagogical literature and policy analysis, this paper argues that the modern secondary teacher in London must transcend traditional instructional roles to become a cultural mediator, pastoral leader, and adaptive practitioner. The study highlights the impact of post-pandemic recovery on student engagement and the specific challenges faced by educators in one of Europe’s most complex metropolitan education systems.</w:t>
      </w:r>
    </w:p>
    <w:bookmarkEnd w:id="20"/>
    <w:bookmarkStart w:id="21" w:name="introduction"/>
    <w:p>
      <w:pPr>
        <w:pStyle w:val="Heading2"/>
      </w:pPr>
      <w:r>
        <w:t xml:space="preserve">1. Introduction</w:t>
      </w:r>
    </w:p>
    <w:p>
      <w:pPr>
        <w:pStyle w:val="FirstParagraph"/>
      </w:pPr>
      <w:r>
        <w:t xml:space="preserve">The profession of teaching in the secondary sector has undergone profound transformation over the last two decades. Nowhere is this transformation more palpable than in</w:t>
      </w:r>
      <w:r>
        <w:t xml:space="preserve"> </w:t>
      </w:r>
      <w:r>
        <w:rPr>
          <w:bCs/>
          <w:b/>
        </w:rPr>
        <w:t xml:space="preserve">United Kingdom London</w:t>
      </w:r>
      <w:r>
        <w:t xml:space="preserve">, a city that serves as both an economic powerhouse and a microcosm of global demographic shifts. For the</w:t>
      </w:r>
      <w:r>
        <w:t xml:space="preserve"> </w:t>
      </w:r>
      <w:r>
        <w:rPr>
          <w:bCs/>
          <w:b/>
        </w:rPr>
        <w:t xml:space="preserve">Teacher Secondary</w:t>
      </w:r>
      <w:r>
        <w:t xml:space="preserve"> </w:t>
      </w:r>
      <w:r>
        <w:t xml:space="preserve">working within this metropolitan context, the classroom is not merely a site of academic instruction but a complex social ecosystem. This article explores how teachers in London navigate the intersecting pressures of curriculum standardization, diverse student needs, and high-stakes accountability frameworks such as Progress 8 and Attainment 8.</w:t>
      </w:r>
    </w:p>
    <w:p>
      <w:pPr>
        <w:pStyle w:val="BodyText"/>
      </w:pPr>
      <w:r>
        <w:t xml:space="preserve">London’s secondary schools are characterized by an unprecedented level of cultural, linguistic, and religious diversity. According to recent Department for Education statistics, a significant majority of students in London state-funded schools speak English as an Additional Language (EAL). Consequently, the role of the</w:t>
      </w:r>
      <w:r>
        <w:t xml:space="preserve"> </w:t>
      </w:r>
      <w:r>
        <w:rPr>
          <w:bCs/>
          <w:b/>
        </w:rPr>
        <w:t xml:space="preserve">Teacher Secondary</w:t>
      </w:r>
      <w:r>
        <w:t xml:space="preserve"> </w:t>
      </w:r>
      <w:r>
        <w:t xml:space="preserve">extends beyond subject mastery to include intensive language scaffolding and culturally responsive pedagogy. This paper aims to elucidate how these factors reshape professional identity and practice.</w:t>
      </w:r>
    </w:p>
    <w:bookmarkEnd w:id="21"/>
    <w:bookmarkStart w:id="24" w:name="X1960f2c383df7b164f8361ed40f9f8235761c46"/>
    <w:p>
      <w:pPr>
        <w:pStyle w:val="Heading2"/>
      </w:pPr>
      <w:r>
        <w:t xml:space="preserve">2. The London Context: Diversity as a Pedagogical Imperative</w:t>
      </w:r>
    </w:p>
    <w:p>
      <w:pPr>
        <w:pStyle w:val="FirstParagraph"/>
      </w:pPr>
      <w:r>
        <w:t xml:space="preserve">The demographic composition of</w:t>
      </w:r>
      <w:r>
        <w:t xml:space="preserve"> </w:t>
      </w:r>
      <w:r>
        <w:rPr>
          <w:bCs/>
          <w:b/>
        </w:rPr>
        <w:t xml:space="preserve">United Kingdom London</w:t>
      </w:r>
      <w:r>
        <w:t xml:space="preserve"> </w:t>
      </w:r>
      <w:r>
        <w:t xml:space="preserve">significantly influences teaching strategies. Teachers in inner-city boroughs often manage classrooms comprising students from hundreds of different cultural backgrounds. This diversity, while enriching, presents unique challenges regarding curriculum relevance and student engagement.</w:t>
      </w:r>
    </w:p>
    <w:bookmarkStart w:id="22" w:name="culturally-responsive-teaching"/>
    <w:p>
      <w:pPr>
        <w:pStyle w:val="Heading3"/>
      </w:pPr>
      <w:r>
        <w:t xml:space="preserve">2.1 Culturally Responsive Teaching</w:t>
      </w:r>
    </w:p>
    <w:p>
      <w:pPr>
        <w:pStyle w:val="FirstParagraph"/>
      </w:pPr>
      <w:r>
        <w:t xml:space="preserve">To be effective in</w:t>
      </w:r>
      <w:r>
        <w:t xml:space="preserve"> </w:t>
      </w:r>
      <w:r>
        <w:rPr>
          <w:bCs/>
          <w:b/>
        </w:rPr>
        <w:t xml:space="preserve">United Kingdom London</w:t>
      </w:r>
      <w:r>
        <w:t xml:space="preserve">, a</w:t>
      </w:r>
      <w:r>
        <w:t xml:space="preserve"> </w:t>
      </w:r>
      <w:r>
        <w:rPr>
          <w:bCs/>
          <w:b/>
        </w:rPr>
        <w:t xml:space="preserve">Teacher Secondary</w:t>
      </w:r>
      <w:r>
        <w:t xml:space="preserve"> </w:t>
      </w:r>
      <w:r>
        <w:t xml:space="preserve">must adopt culturally responsive teaching practices. This involves integrating students’ cultural references into all aspects of learning. For instance, literature teachers may draw upon post-colonial texts that reflect the diasporic experiences of their student body, thereby increasing relatability and critical engagement. Research indicates that when students see their identities reflected in the curriculum, academic resilience improves significantly.</w:t>
      </w:r>
    </w:p>
    <w:bookmarkEnd w:id="22"/>
    <w:bookmarkStart w:id="23" w:name="addressing-educational-inequality"/>
    <w:p>
      <w:pPr>
        <w:pStyle w:val="Heading3"/>
      </w:pPr>
      <w:r>
        <w:t xml:space="preserve">2.2 Addressing Educational Inequality</w:t>
      </w:r>
    </w:p>
    <w:p>
      <w:pPr>
        <w:pStyle w:val="FirstParagraph"/>
      </w:pPr>
      <w:r>
        <w:t xml:space="preserve">Despite London’s wealth, it also harbors stark inequalities. Many secondary schools operate in areas with high levels of deprivation. The</w:t>
      </w:r>
      <w:r>
        <w:t xml:space="preserve"> </w:t>
      </w:r>
      <w:r>
        <w:rPr>
          <w:bCs/>
          <w:b/>
        </w:rPr>
        <w:t xml:space="preserve">Teacher Secondary</w:t>
      </w:r>
      <w:r>
        <w:t xml:space="preserve"> </w:t>
      </w:r>
      <w:r>
        <w:t xml:space="preserve">is often expected to mitigate the effects of poverty through pastoral care and targeted academic intervention. This dual role requires a sophisticated understanding of safeguarding protocols and community resource networks, positioning the teacher as a key agent in social mobility.</w:t>
      </w:r>
    </w:p>
    <w:bookmarkEnd w:id="23"/>
    <w:bookmarkEnd w:id="24"/>
    <w:bookmarkStart w:id="27" w:name="accountability-and-professional-autonomy"/>
    <w:p>
      <w:pPr>
        <w:pStyle w:val="Heading2"/>
      </w:pPr>
      <w:r>
        <w:t xml:space="preserve">3. Accountability and Professional Autonomy</w:t>
      </w:r>
    </w:p>
    <w:p>
      <w:pPr>
        <w:pStyle w:val="FirstParagraph"/>
      </w:pPr>
      <w:r>
        <w:t xml:space="preserve">The regulatory environment for secondary education in England, particularly within London, is characterized by intense scrutiny. Ofsted inspections and exam results serve as primary metrics of school success. For the</w:t>
      </w:r>
      <w:r>
        <w:t xml:space="preserve"> </w:t>
      </w:r>
      <w:r>
        <w:rPr>
          <w:bCs/>
          <w:b/>
        </w:rPr>
        <w:t xml:space="preserve">Teacher Secondary</w:t>
      </w:r>
      <w:r>
        <w:t xml:space="preserve">, this creates a tension between professional autonomy and compliance-driven practice.</w:t>
      </w:r>
    </w:p>
    <w:bookmarkStart w:id="25" w:name="the-pressure-of-metrics"/>
    <w:p>
      <w:pPr>
        <w:pStyle w:val="Heading3"/>
      </w:pPr>
      <w:r>
        <w:t xml:space="preserve">3.1 The Pressure of Metrics</w:t>
      </w:r>
    </w:p>
    <w:p>
      <w:pPr>
        <w:pStyle w:val="FirstParagraph"/>
      </w:pPr>
      <w:r>
        <w:t xml:space="preserve">In</w:t>
      </w:r>
      <w:r>
        <w:t xml:space="preserve"> </w:t>
      </w:r>
      <w:r>
        <w:rPr>
          <w:bCs/>
          <w:b/>
        </w:rPr>
        <w:t xml:space="preserve">United Kingdom London</w:t>
      </w:r>
      <w:r>
        <w:t xml:space="preserve">, where competition for high-performing schools is fierce, teachers face pressure to deliver measurable outcomes. This often leads to "teaching to the test," which can stifle creative pedagogy. However, recent shifts in inspection frameworks have begun to place greater emphasis on curriculum breadth and student well-being, offering some respite for educators focused on holistic development.</w:t>
      </w:r>
    </w:p>
    <w:bookmarkEnd w:id="25"/>
    <w:bookmarkStart w:id="26" w:name="teacher-agency"/>
    <w:p>
      <w:pPr>
        <w:pStyle w:val="Heading3"/>
      </w:pPr>
      <w:r>
        <w:t xml:space="preserve">3.2 Teacher Agency</w:t>
      </w:r>
    </w:p>
    <w:p>
      <w:pPr>
        <w:pStyle w:val="FirstParagraph"/>
      </w:pPr>
      <w:r>
        <w:t xml:space="preserve">Critically, many secondary teachers in London assert their agency by engaging in action research and collaborative planning. Professional Learning Communities (PLCs) have become vital spaces where</w:t>
      </w:r>
      <w:r>
        <w:t xml:space="preserve"> </w:t>
      </w:r>
      <w:r>
        <w:rPr>
          <w:bCs/>
          <w:b/>
        </w:rPr>
        <w:t xml:space="preserve">Teacher Secondary</w:t>
      </w:r>
      <w:r>
        <w:t xml:space="preserve"> </w:t>
      </w:r>
      <w:r>
        <w:t xml:space="preserve">staff can reflect on practice, share strategies for supporting diverse learners, and advocate for policy changes that better reflect the realities of urban education.</w:t>
      </w:r>
    </w:p>
    <w:bookmarkEnd w:id="26"/>
    <w:bookmarkEnd w:id="27"/>
    <w:bookmarkStart w:id="29" w:name="post-pandemic-challenges-and-recovery"/>
    <w:p>
      <w:pPr>
        <w:pStyle w:val="Heading2"/>
      </w:pPr>
      <w:r>
        <w:t xml:space="preserve">4. Post-Pandemic Challenges and Recovery</w:t>
      </w:r>
    </w:p>
    <w:p>
      <w:pPr>
        <w:pStyle w:val="FirstParagraph"/>
      </w:pPr>
      <w:r>
        <w:t xml:space="preserve">The COVID-19 pandemic exacerbated existing inequalities in</w:t>
      </w:r>
      <w:r>
        <w:t xml:space="preserve"> </w:t>
      </w:r>
      <w:r>
        <w:rPr>
          <w:bCs/>
          <w:b/>
        </w:rPr>
        <w:t xml:space="preserve">United Kingdom London</w:t>
      </w:r>
      <w:r>
        <w:t xml:space="preserve">. Lockdowns disproportionately affected students from low-income households who lacked access to quiet study spaces or reliable internet connectivity. The return to the classroom revealed significant learning gaps, particularly in core subjects like mathematics and English.</w:t>
      </w:r>
    </w:p>
    <w:bookmarkStart w:id="28" w:name="adapting-pedagogy"/>
    <w:p>
      <w:pPr>
        <w:pStyle w:val="Heading3"/>
      </w:pPr>
      <w:r>
        <w:t xml:space="preserve">4.1 Adapting Pedagogy</w:t>
      </w:r>
    </w:p>
    <w:p>
      <w:pPr>
        <w:pStyle w:val="FirstParagraph"/>
      </w:pPr>
      <w:r>
        <w:t xml:space="preserve">The modern</w:t>
      </w:r>
      <w:r>
        <w:t xml:space="preserve"> </w:t>
      </w:r>
      <w:r>
        <w:rPr>
          <w:bCs/>
          <w:b/>
        </w:rPr>
        <w:t xml:space="preserve">Teacher Secondary</w:t>
      </w:r>
      <w:r>
        <w:t xml:space="preserve"> </w:t>
      </w:r>
      <w:r>
        <w:t xml:space="preserve">must now employ recovery pedagogies that address both academic deficits and emotional trauma. This requires flexibility in lesson planning and a heightened sensitivity to student mental health. In London, this has led to an increased integration of pastoral support within the timetable, with teachers collaborating closely with school counselors and social workers.</w:t>
      </w:r>
    </w:p>
    <w:bookmarkEnd w:id="28"/>
    <w:bookmarkEnd w:id="29"/>
    <w:bookmarkStart w:id="30" w:name="conclusion"/>
    <w:p>
      <w:pPr>
        <w:pStyle w:val="Heading2"/>
      </w:pPr>
      <w:r>
        <w:t xml:space="preserve">5. Conclusion</w:t>
      </w:r>
    </w:p>
    <w:p>
      <w:pPr>
        <w:pStyle w:val="FirstParagraph"/>
      </w:pPr>
      <w:r>
        <w:t xml:space="preserve">The role of the</w:t>
      </w:r>
      <w:r>
        <w:t xml:space="preserve"> </w:t>
      </w:r>
      <w:r>
        <w:rPr>
          <w:bCs/>
          <w:b/>
        </w:rPr>
        <w:t xml:space="preserve">Teacher Secondary</w:t>
      </w:r>
      <w:r>
        <w:t xml:space="preserve"> </w:t>
      </w:r>
      <w:r>
        <w:t xml:space="preserve">in</w:t>
      </w:r>
      <w:r>
        <w:t xml:space="preserve"> </w:t>
      </w:r>
      <w:r>
        <w:rPr>
          <w:bCs/>
          <w:b/>
        </w:rPr>
        <w:t xml:space="preserve">United Kingdom London</w:t>
      </w:r>
      <w:r>
        <w:t xml:space="preserve"> </w:t>
      </w:r>
      <w:r>
        <w:t xml:space="preserve">is more complex and critical than ever before. These educators operate at the intersection of diverse cultures, socioeconomic challenges, and rigid accountability structures. To thrive, they must be adaptive practitioners who combine subject expertise with deep pedagogical knowledge and empathetic leadership.</w:t>
      </w:r>
    </w:p>
    <w:p>
      <w:pPr>
        <w:pStyle w:val="BodyText"/>
      </w:pPr>
      <w:r>
        <w:t xml:space="preserve">Future policy frameworks should recognize the specific demands placed on London’s secondary teachers by providing targeted funding for EAL support, mental health resources, and professional development in culturally responsive teaching. By empowering these educators,</w:t>
      </w:r>
      <w:r>
        <w:t xml:space="preserve"> </w:t>
      </w:r>
      <w:r>
        <w:rPr>
          <w:bCs/>
          <w:b/>
        </w:rPr>
        <w:t xml:space="preserve">United Kingdom London</w:t>
      </w:r>
      <w:r>
        <w:t xml:space="preserve"> </w:t>
      </w:r>
      <w:r>
        <w:t xml:space="preserve">can continue to model how high expectations and high support can coexist to produce equitable educational outcomes.</w:t>
      </w:r>
    </w:p>
    <w:bookmarkEnd w:id="30"/>
    <w:bookmarkStart w:id="31" w:name="references"/>
    <w:p>
      <w:pPr>
        <w:pStyle w:val="Heading2"/>
      </w:pPr>
      <w:r>
        <w:t xml:space="preserve">References</w:t>
      </w:r>
    </w:p>
    <w:p>
      <w:pPr>
        <w:numPr>
          <w:ilvl w:val="0"/>
          <w:numId w:val="1001"/>
        </w:numPr>
        <w:pStyle w:val="Compact"/>
      </w:pPr>
      <w:r>
        <w:t xml:space="preserve">DfE. (2023).</w:t>
      </w:r>
      <w:r>
        <w:t xml:space="preserve"> </w:t>
      </w:r>
      <w:r>
        <w:rPr>
          <w:iCs/>
          <w:i/>
        </w:rPr>
        <w:t xml:space="preserve">Pupils in England: Permanent exclusions and alternative provision in England</w:t>
      </w:r>
      <w:r>
        <w:t xml:space="preserve">. Department for Education.</w:t>
      </w:r>
    </w:p>
    <w:p>
      <w:pPr>
        <w:numPr>
          <w:ilvl w:val="0"/>
          <w:numId w:val="1001"/>
        </w:numPr>
        <w:pStyle w:val="Compact"/>
      </w:pPr>
      <w:r>
        <w:t xml:space="preserve">Gillborn, D. (2019).</w:t>
      </w:r>
      <w:r>
        <w:t xml:space="preserve"> </w:t>
      </w:r>
      <w:r>
        <w:rPr>
          <w:iCs/>
          <w:i/>
        </w:rPr>
        <w:t xml:space="preserve">Racism and Education: Coincidence or Conspiracy?</w:t>
      </w:r>
      <w:r>
        <w:t xml:space="preserve"> </w:t>
      </w:r>
      <w:r>
        <w:t xml:space="preserve">Routledge.</w:t>
      </w:r>
    </w:p>
    <w:p>
      <w:pPr>
        <w:numPr>
          <w:ilvl w:val="0"/>
          <w:numId w:val="1001"/>
        </w:numPr>
        <w:pStyle w:val="Compact"/>
      </w:pPr>
      <w:r>
        <w:t xml:space="preserve">Hargreaves, A., &amp; Fullan, M. (2012).</w:t>
      </w:r>
      <w:r>
        <w:t xml:space="preserve"> </w:t>
      </w:r>
      <w:r>
        <w:rPr>
          <w:iCs/>
          <w:i/>
        </w:rPr>
        <w:t xml:space="preserve">Professional Capital: Transforming Teaching in Every School</w:t>
      </w:r>
      <w:r>
        <w:t xml:space="preserve">. Teachers College Press.</w:t>
      </w:r>
    </w:p>
    <w:p>
      <w:pPr>
        <w:numPr>
          <w:ilvl w:val="0"/>
          <w:numId w:val="1001"/>
        </w:numPr>
        <w:pStyle w:val="Compact"/>
      </w:pPr>
      <w:r>
        <w:t xml:space="preserve">Lundahl, L., et al. (2014). "Meta-analysis of culturally responsive teaching."</w:t>
      </w:r>
      <w:r>
        <w:t xml:space="preserve"> </w:t>
      </w:r>
      <w:r>
        <w:rPr>
          <w:iCs/>
          <w:i/>
        </w:rPr>
        <w:t xml:space="preserve">Educational Research Review</w:t>
      </w:r>
      <w:r>
        <w:t xml:space="preserve">, 13, 1-28.</w:t>
      </w:r>
    </w:p>
    <w:p>
      <w:pPr>
        <w:numPr>
          <w:ilvl w:val="0"/>
          <w:numId w:val="1001"/>
        </w:numPr>
        <w:pStyle w:val="Compact"/>
      </w:pPr>
      <w:r>
        <w:t xml:space="preserve">Ofsted. (2023).</w:t>
      </w:r>
      <w:r>
        <w:t xml:space="preserve"> </w:t>
      </w:r>
      <w:r>
        <w:rPr>
          <w:iCs/>
          <w:i/>
        </w:rPr>
        <w:t xml:space="preserve">Education inspection framework: School inspection</w:t>
      </w:r>
      <w:r>
        <w:t xml:space="preserve">. Office for Standards in Education.</w:t>
      </w:r>
    </w:p>
    <w:p>
      <w:pPr>
        <w:numPr>
          <w:ilvl w:val="0"/>
          <w:numId w:val="1001"/>
        </w:numPr>
        <w:pStyle w:val="Compact"/>
      </w:pPr>
      <w:r>
        <w:t xml:space="preserve">Tenorth, H.-E., &amp; Schneider, L. (2016). "The role of the teacher in the 21st century."</w:t>
      </w:r>
      <w:r>
        <w:t xml:space="preserve"> </w:t>
      </w:r>
      <w:r>
        <w:rPr>
          <w:iCs/>
          <w:i/>
        </w:rPr>
        <w:t xml:space="preserve">Educational Research</w:t>
      </w:r>
      <w:r>
        <w:t xml:space="preserve">, 58(4), 399-410.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Secondary Teacher in United Kingdom London: Navigating Complexity, Diversity, and Accountability</dc:title>
  <dc:creator/>
  <dc:language>en</dc:language>
  <cp:keywords/>
  <dcterms:created xsi:type="dcterms:W3CDTF">2026-07-29T12:45:20Z</dcterms:created>
  <dcterms:modified xsi:type="dcterms:W3CDTF">2026-07-29T12:45:20Z</dcterms:modified>
</cp:coreProperties>
</file>

<file path=docProps/custom.xml><?xml version="1.0" encoding="utf-8"?>
<Properties xmlns="http://schemas.openxmlformats.org/officeDocument/2006/custom-properties" xmlns:vt="http://schemas.openxmlformats.org/officeDocument/2006/docPropsVTypes"/>
</file>