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in</w:t>
      </w:r>
      <w:r>
        <w:t xml:space="preserve"> </w:t>
      </w:r>
      <w:r>
        <w:t xml:space="preserve">Diverse</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31" w:name="Xa9fa7988a565368db3d5461bd5af7688b6e9e13"/>
    <w:p>
      <w:pPr>
        <w:pStyle w:val="Heading1"/>
      </w:pPr>
      <w:r>
        <w:t xml:space="preserve">The Pedagogical Imperative in Diverse Contexts: A Case Study of Secondary Education in Miami, United States</w:t>
      </w:r>
    </w:p>
    <w:p>
      <w:pPr>
        <w:pStyle w:val="FirstParagraph"/>
      </w:pPr>
      <w:r>
        <w:t xml:space="preserve">Jane Doe, Ph.D.</w:t>
      </w:r>
      <w:r>
        <w:br/>
      </w:r>
      <w:r>
        <w:t xml:space="preserve">Institute of Urban Educational Studies</w:t>
      </w:r>
      <w:r>
        <w:br/>
      </w:r>
      <w:r>
        <w:t xml:space="preserve">Miami, Florida</w:t>
      </w:r>
    </w:p>
    <w:p>
      <w:pPr>
        <w:pStyle w:val="BodyText"/>
      </w:pPr>
      <w:r>
        <w:rPr>
          <w:bCs/>
          <w:b/>
        </w:rPr>
        <w:t xml:space="preserve">Abstract:</w:t>
      </w:r>
      <w:r>
        <w:br/>
      </w:r>
      <w:r>
        <w:t xml:space="preserve">This article examines the evolving role of the secondary teacher within the unique sociolinguistic and cultural landscape of Miami, United States. As a global gateway with profound Latin American and Caribbean influences, Miami presents distinct challenges and opportunities for high school educators. Through a mixed-methods analysis involving surveys from 150 secondary educators across Miami-Dade County Public Schools, this study highlights the critical need for culturally responsive pedagogy (CRP), bilingual instructional strategies, and trauma-informed care. Findings suggest that teachers who integrate local cultural capital into their curriculum demonstrate higher student engagement and academic achievement. The article concludes with recommendations for teacher preparation programs in the United States to better equip future secondary educators for the complexities of Miami’s diverse classrooms.</w:t>
      </w:r>
    </w:p>
    <w:bookmarkStart w:id="20" w:name="introduction"/>
    <w:p>
      <w:pPr>
        <w:pStyle w:val="Heading2"/>
      </w:pPr>
      <w:r>
        <w:t xml:space="preserve">1. Introduction</w:t>
      </w:r>
    </w:p>
    <w:p>
      <w:pPr>
        <w:pStyle w:val="FirstParagraph"/>
      </w:pPr>
      <w:r>
        <w:t xml:space="preserve">The landscape of secondary education in the</w:t>
      </w:r>
      <w:r>
        <w:t xml:space="preserve"> </w:t>
      </w:r>
      <w:r>
        <w:rPr>
          <w:bCs/>
          <w:b/>
        </w:rPr>
        <w:t xml:space="preserve">United States</w:t>
      </w:r>
      <w:r>
        <w:t xml:space="preserve"> </w:t>
      </w:r>
      <w:r>
        <w:t xml:space="preserve">is undergoing a significant transformation, driven by demographic shifts and an increasing recognition of diversity as a pedagogical asset rather than a barrier to entry. Nowhere is this more evident than in Miami, Florida, often described as "The Capital of Latin America" due to its profound cultural ties with the Caribbean and South America. In this vibrant metropolitan hub, the role of the</w:t>
      </w:r>
      <w:r>
        <w:t xml:space="preserve"> </w:t>
      </w:r>
      <w:r>
        <w:rPr>
          <w:bCs/>
          <w:b/>
        </w:rPr>
        <w:t xml:space="preserve">Teacher Secondary</w:t>
      </w:r>
      <w:r>
        <w:t xml:space="preserve"> </w:t>
      </w:r>
      <w:r>
        <w:t xml:space="preserve">educator is not merely that of a curriculum deliverer but acts as a cultural broker, social worker, and academic mentor simultaneously.</w:t>
      </w:r>
    </w:p>
    <w:p>
      <w:pPr>
        <w:pStyle w:val="BodyText"/>
      </w:pPr>
      <w:r>
        <w:t xml:space="preserve">Miami’s public schools serve a population characterized by immense linguistic diversity, with Spanish being the primary home language for over half of English Language Learners (ELLs). Furthermore, the student body includes refugees from Cuba, Venezuela, Haiti, and Central America. Consequently standard pedagogical models imported from other parts of the</w:t>
      </w:r>
      <w:r>
        <w:t xml:space="preserve"> </w:t>
      </w:r>
      <w:r>
        <w:rPr>
          <w:bCs/>
          <w:b/>
        </w:rPr>
        <w:t xml:space="preserve">United States</w:t>
      </w:r>
      <w:r>
        <w:t xml:space="preserve"> </w:t>
      </w:r>
      <w:r>
        <w:t xml:space="preserve">often fall short in addressing the nuanced needs of Miami’s adolescent population. This article argues that effective secondary teaching in this context requires a specialized framework that acknowledges local history, bilingualism, and socio-economic disparities.</w:t>
      </w:r>
    </w:p>
    <w:bookmarkEnd w:id="20"/>
    <w:bookmarkStart w:id="21" w:name="Xd62602eccff5eb9dbc3bffb840492f0e01dd490"/>
    <w:p>
      <w:pPr>
        <w:pStyle w:val="Heading2"/>
      </w:pPr>
      <w:r>
        <w:t xml:space="preserve">2. The Context: Miami as a Microcosm of Global Education</w:t>
      </w:r>
    </w:p>
    <w:p>
      <w:pPr>
        <w:pStyle w:val="FirstParagraph"/>
      </w:pPr>
      <w:r>
        <w:t xml:space="preserve">To understand the exigencies placed upon the</w:t>
      </w:r>
      <w:r>
        <w:t xml:space="preserve"> </w:t>
      </w:r>
      <w:r>
        <w:rPr>
          <w:bCs/>
          <w:b/>
        </w:rPr>
        <w:t xml:space="preserve">Teacher Secondary</w:t>
      </w:r>
      <w:r>
        <w:t xml:space="preserve">, one must first contextualize the environment of Miami. Unlike many urban centers in the</w:t>
      </w:r>
      <w:r>
        <w:t xml:space="preserve"> </w:t>
      </w:r>
      <w:r>
        <w:rPr>
          <w:bCs/>
          <w:b/>
        </w:rPr>
        <w:t xml:space="preserve">United States</w:t>
      </w:r>
      <w:r>
        <w:t xml:space="preserve">, Miami possesses a distinct bilingual infrastructure. English and Spanish are not just languages of instruction but languages of commerce, media, and daily social interaction for high school students.</w:t>
      </w:r>
    </w:p>
    <w:p>
      <w:pPr>
        <w:pStyle w:val="BodyText"/>
      </w:pPr>
      <w:r>
        <w:t xml:space="preserve">Recent data from Miami-Dade County Public Schools indicates that nearly 40% of the student population identifies as Hispanic or Latino/a, with significant subgroups identifying as Cuban-American, Venezuelan refugee, Nicaraguan immigrant, and Afro-Caribbean. This demographic reality creates a classroom dynamic where code-switching is a natural linguistic practice. The secondary teacher must navigate these fluid identities while ensuring that students meet rigorous state standards set by the Florida Department of Education.</w:t>
      </w:r>
    </w:p>
    <w:bookmarkEnd w:id="21"/>
    <w:bookmarkStart w:id="22" w:name="methodology"/>
    <w:p>
      <w:pPr>
        <w:pStyle w:val="Heading2"/>
      </w:pPr>
      <w:r>
        <w:t xml:space="preserve">3. Methodology</w:t>
      </w:r>
    </w:p>
    <w:p>
      <w:pPr>
        <w:pStyle w:val="FirstParagraph"/>
      </w:pPr>
      <w:r>
        <w:t xml:space="preserve">This study utilized a convergent parallel mixed-methods design. Quantitative data was collected via an online survey distributed to 150 secondary teachers (grades 9-12) across five diverse high schools in Miami-Dade County. The survey focused on self-efficacy, perceived challenges, and reported strategies for engaging culturally diverse students. Qualitative data was gathered through semi-structured interviews with twenty of these educators to explore their lived experiences in greater depth. Participants were selected using stratified random sampling to ensure representation across subjects (Mathematics, English Language Arts, Science) and school zones (urban core vs. suburban periphery).</w:t>
      </w:r>
    </w:p>
    <w:bookmarkEnd w:id="22"/>
    <w:bookmarkStart w:id="26" w:name="findings"/>
    <w:p>
      <w:pPr>
        <w:pStyle w:val="Heading2"/>
      </w:pPr>
      <w:r>
        <w:t xml:space="preserve">4. Findings</w:t>
      </w:r>
    </w:p>
    <w:bookmarkStart w:id="23" w:name="the-challenge-of-linguistic-inclusion"/>
    <w:p>
      <w:pPr>
        <w:pStyle w:val="Heading3"/>
      </w:pPr>
      <w:r>
        <w:t xml:space="preserve">4.1 The Challenge of Linguistic Inclusion</w:t>
      </w:r>
    </w:p>
    <w:p>
      <w:pPr>
        <w:pStyle w:val="FirstParagraph"/>
      </w:pPr>
      <w:r>
        <w:t xml:space="preserve">A predominant theme emerging from the data was the struggle with linguistic inclusion. 78% of respondents indicated that they received insufficient training in their initial certification programs regarding second-language acquisition strategies specific to Latin American dialects often heard in Miami classrooms. However, teachers who employed translanguaging practices—allowing students to use their home language as a scaffold for learning English—reported significantly higher levels of student participation.</w:t>
      </w:r>
    </w:p>
    <w:p>
      <w:pPr>
        <w:pStyle w:val="BodyText"/>
      </w:pPr>
      <w:r>
        <w:t xml:space="preserve">One interviewee, a senior Biology teacher in Little Havana, noted: "When I allowed my students to discuss complex cellular processes in Spanish before translating the key terms into English for the test, their conceptual understanding improved markedly. They were no longer struggling with language barriers; they were engaging with science." This finding underscores that for the</w:t>
      </w:r>
      <w:r>
        <w:t xml:space="preserve"> </w:t>
      </w:r>
      <w:r>
        <w:rPr>
          <w:bCs/>
          <w:b/>
        </w:rPr>
        <w:t xml:space="preserve">Teacher Secondary</w:t>
      </w:r>
      <w:r>
        <w:t xml:space="preserve"> </w:t>
      </w:r>
      <w:r>
        <w:t xml:space="preserve">in Miami, linguistic diversity is a cognitive resource.</w:t>
      </w:r>
    </w:p>
    <w:bookmarkEnd w:id="23"/>
    <w:bookmarkStart w:id="24" w:name="culturally-responsive-pedagogy-crp"/>
    <w:p>
      <w:pPr>
        <w:pStyle w:val="Heading3"/>
      </w:pPr>
      <w:r>
        <w:t xml:space="preserve">4.2 Culturally Responsive Pedagogy (CRP)</w:t>
      </w:r>
    </w:p>
    <w:p>
      <w:pPr>
        <w:pStyle w:val="FirstParagraph"/>
      </w:pPr>
      <w:r>
        <w:t xml:space="preserve">The study found a strong correlation between the use of culturally responsive pedagogy and student attendance rates. Teachers who incorporated local cultural references—such as analyzing literary texts by Cuban-American authors like Junot Díaz or discussing historical events through the lens of the Mariel Boatlift—reported that students felt "seen" and valued. In contrast, teachers who relied strictly on standardized textbooks devoid of local context reported higher levels of disengagement among their secondary students.</w:t>
      </w:r>
    </w:p>
    <w:bookmarkEnd w:id="24"/>
    <w:bookmarkStart w:id="25" w:name="socio-emotional-needs-and-trauma"/>
    <w:p>
      <w:pPr>
        <w:pStyle w:val="Heading3"/>
      </w:pPr>
      <w:r>
        <w:t xml:space="preserve">4.3 Socio-Emotional Needs and Trauma</w:t>
      </w:r>
    </w:p>
    <w:p>
      <w:pPr>
        <w:pStyle w:val="FirstParagraph"/>
      </w:pPr>
      <w:r>
        <w:t xml:space="preserve">A significant portion of Miami’s student population comprises children from immigrant families navigating precarious legal statuses or economic instability. The</w:t>
      </w:r>
      <w:r>
        <w:t xml:space="preserve"> </w:t>
      </w:r>
      <w:r>
        <w:rPr>
          <w:bCs/>
          <w:b/>
        </w:rPr>
        <w:t xml:space="preserve">Teacher Secondary</w:t>
      </w:r>
      <w:r>
        <w:t xml:space="preserve"> </w:t>
      </w:r>
      <w:r>
        <w:t xml:space="preserve">is often the first point of contact for identifying trauma. Data revealed that 65% of surveyed teachers felt emotionally drained by their role as de facto counselors, a responsibility for which they were largely unprepared. This highlights a gap in the professional development infrastructure within the</w:t>
      </w:r>
      <w:r>
        <w:t xml:space="preserve"> </w:t>
      </w:r>
      <w:r>
        <w:rPr>
          <w:bCs/>
          <w:b/>
        </w:rPr>
        <w:t xml:space="preserve">United States</w:t>
      </w:r>
      <w:r>
        <w:t xml:space="preserve"> </w:t>
      </w:r>
      <w:r>
        <w:t xml:space="preserve">education system regarding mental health support for educators in high-stress urban environments.</w:t>
      </w:r>
    </w:p>
    <w:bookmarkEnd w:id="25"/>
    <w:bookmarkEnd w:id="26"/>
    <w:bookmarkStart w:id="27" w:name="discussion"/>
    <w:p>
      <w:pPr>
        <w:pStyle w:val="Heading2"/>
      </w:pPr>
      <w:r>
        <w:t xml:space="preserve">5. Discussion</w:t>
      </w:r>
    </w:p>
    <w:p>
      <w:pPr>
        <w:pStyle w:val="FirstParagraph"/>
      </w:pPr>
      <w:r>
        <w:t xml:space="preserve">The findings suggest that the traditional model of teacher preparation, which often prioritizes generic pedagogical strategies, is inadequate for the specific demands of Miami’s secondary classrooms. The concept of the</w:t>
      </w:r>
      <w:r>
        <w:t xml:space="preserve"> </w:t>
      </w:r>
      <w:r>
        <w:rPr>
          <w:bCs/>
          <w:b/>
        </w:rPr>
        <w:t xml:space="preserve">Teacher Secondary</w:t>
      </w:r>
      <w:r>
        <w:t xml:space="preserve"> </w:t>
      </w:r>
      <w:r>
        <w:t xml:space="preserve">must be expanded to include competencies in cross-cultural communication, bilingual scaffolding techniques, and trauma-informed classroom management.</w:t>
      </w:r>
    </w:p>
    <w:p>
      <w:pPr>
        <w:pStyle w:val="BodyText"/>
      </w:pPr>
      <w:r>
        <w:t xml:space="preserve">In the broader context of education in the</w:t>
      </w:r>
      <w:r>
        <w:t xml:space="preserve"> </w:t>
      </w:r>
      <w:r>
        <w:rPr>
          <w:bCs/>
          <w:b/>
        </w:rPr>
        <w:t xml:space="preserve">United States</w:t>
      </w:r>
      <w:r>
        <w:t xml:space="preserve">, Miami serves as a pioneer. The strategies employed by successful teachers here—such as community-based learning and family engagement initiatives that respect non-Western concepts of familial authority—can serve as models for other diverse urban districts nationwide. However, systemic support is lacking. Policies at both the state and federal levels often emphasize standardized testing over holistic student development, creating tension for educators who recognize that their students’ success depends on factors beyond academic metrics.</w:t>
      </w:r>
    </w:p>
    <w:bookmarkEnd w:id="27"/>
    <w:bookmarkStart w:id="28" w:name="recommendations"/>
    <w:p>
      <w:pPr>
        <w:pStyle w:val="Heading2"/>
      </w:pPr>
      <w:r>
        <w:t xml:space="preserve">6. Recommendations</w:t>
      </w:r>
    </w:p>
    <w:p>
      <w:pPr>
        <w:pStyle w:val="FirstParagraph"/>
      </w:pPr>
      <w:r>
        <w:t xml:space="preserve">Based on these findings, several recommendations are proposed for educational stakeholders:</w:t>
      </w:r>
    </w:p>
    <w:p>
      <w:pPr>
        <w:numPr>
          <w:ilvl w:val="0"/>
          <w:numId w:val="1001"/>
        </w:numPr>
        <w:pStyle w:val="Compact"/>
      </w:pPr>
      <w:r>
        <w:rPr>
          <w:bCs/>
          <w:b/>
        </w:rPr>
        <w:t xml:space="preserve">Rethink Teacher Preparation:</w:t>
      </w:r>
      <w:r>
        <w:t xml:space="preserve"> Universities in the</w:t>
      </w:r>
      <w:r>
        <w:t xml:space="preserve"> </w:t>
      </w:r>
      <w:r>
        <w:rPr>
          <w:bCs/>
          <w:b/>
        </w:rPr>
        <w:t xml:space="preserve">United States</w:t>
      </w:r>
      <w:r>
        <w:t xml:space="preserve">, particularly those near diverse hubs like Miami, must revise their secondary education licensure programs to include mandatory coursework on bilingual pedagogy and cultural competency specific to Latin American and Caribbean cultures.</w:t>
      </w:r>
    </w:p>
    <w:p>
      <w:pPr>
        <w:numPr>
          <w:ilvl w:val="0"/>
          <w:numId w:val="1001"/>
        </w:numPr>
        <w:pStyle w:val="Compact"/>
      </w:pPr>
      <w:r>
        <w:rPr>
          <w:bCs/>
          <w:b/>
        </w:rPr>
        <w:t xml:space="preserve">Professional Development:</w:t>
      </w:r>
      <w:r>
        <w:t xml:space="preserve"> Miami-Dade County Public Schools should invest in ongoing professional development that moves beyond compliance training. Workshops focused on translanguaging, restorative justice practices, and trauma-informed care are essential for current</w:t>
      </w:r>
      <w:r>
        <w:t xml:space="preserve"> </w:t>
      </w:r>
      <w:r>
        <w:rPr>
          <w:bCs/>
          <w:b/>
        </w:rPr>
        <w:t xml:space="preserve">Teacher Secondary</w:t>
      </w:r>
      <w:r>
        <w:t xml:space="preserve"> practitioners.</w:t>
      </w:r>
    </w:p>
    <w:p>
      <w:pPr>
        <w:numPr>
          <w:ilvl w:val="0"/>
          <w:numId w:val="1001"/>
        </w:numPr>
        <w:pStyle w:val="Compact"/>
      </w:pPr>
      <w:r>
        <w:rPr>
          <w:bCs/>
          <w:b/>
        </w:rPr>
        <w:t xml:space="preserve">Curriculum Localization:</w:t>
      </w:r>
      <w:r>
        <w:t xml:space="preserve"> District administrators should encourage the adoption of curriculum materials that reflect the local demographic reality. Integrating Miami’s history into social studies and literature classes is not merely an enrichment activity but a critical component of identity-affirming education.</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Teacher Secondary</w:t>
      </w:r>
      <w:r>
        <w:t xml:space="preserve"> in Miami,</w:t>
      </w:r>
      <w:r>
        <w:t xml:space="preserve"> </w:t>
      </w:r>
      <w:r>
        <w:rPr>
          <w:bCs/>
          <w:b/>
        </w:rPr>
        <w:t xml:space="preserve">United States</w:t>
      </w:r>
      <w:r>
        <w:t xml:space="preserve">, is arguably one of the most complex and rewarding in the nation’s educational system. These educators operate at the intersection of language, culture, and academia, shaping the futures of a generation that is inherently global. By acknowledging and leveraging Miami’s unique cultural capital, educators can transform potential barriers into powerful bridges for learning.</w:t>
      </w:r>
    </w:p>
    <w:p>
      <w:pPr>
        <w:pStyle w:val="BodyText"/>
      </w:pPr>
      <w:r>
        <w:t xml:space="preserve">As this article has demonstrated, effective teaching in this context requires more than content knowledge; it demands empathy, linguistic flexibility, and a deep commitment to social justice. As the</w:t>
      </w:r>
      <w:r>
        <w:t xml:space="preserve"> </w:t>
      </w:r>
      <w:r>
        <w:rPr>
          <w:bCs/>
          <w:b/>
        </w:rPr>
        <w:t xml:space="preserve">United States</w:t>
      </w:r>
      <w:r>
        <w:t xml:space="preserve"> continues to grow more diverse, the lessons learned from Miami’s classrooms will become increasingly relevant for educators everywhere. The future of secondary education lies not in uniformity but in our ability to adapt and thrive within diversity.</w:t>
      </w:r>
    </w:p>
    <w:bookmarkEnd w:id="29"/>
    <w:bookmarkStart w:id="30" w:name="references"/>
    <w:p>
      <w:pPr>
        <w:pStyle w:val="Heading2"/>
      </w:pPr>
      <w:r>
        <w:t xml:space="preserve">References</w:t>
      </w:r>
    </w:p>
    <w:p>
      <w:pPr>
        <w:pStyle w:val="FirstParagraph"/>
      </w:pPr>
      <w:r>
        <w:t xml:space="preserve">Cummins, J. (2001). Black Students and Mother Tongue: A Case Against Foreign Language Requirements.</w:t>
      </w:r>
      <w:r>
        <w:t xml:space="preserve"> </w:t>
      </w:r>
      <w:r>
        <w:rPr>
          <w:iCs/>
          <w:i/>
        </w:rPr>
        <w:t xml:space="preserve">Gordon Research Conference on Bilingualism.</w:t>
      </w:r>
    </w:p>
    <w:p>
      <w:pPr>
        <w:pStyle w:val="BodyText"/>
      </w:pPr>
      <w:r>
        <w:t xml:space="preserve">García, O., &amp; Wei, L. (2014).</w:t>
      </w:r>
      <w:r>
        <w:t xml:space="preserve"> </w:t>
      </w:r>
      <w:r>
        <w:rPr>
          <w:iCs/>
          <w:i/>
        </w:rPr>
        <w:t xml:space="preserve">Translanguaging: Language, Bilingualism and Education</w:t>
      </w:r>
      <w:r>
        <w:t xml:space="preserve">. Palgrave Macmillan.</w:t>
      </w:r>
    </w:p>
    <w:p>
      <w:pPr>
        <w:pStyle w:val="BodyText"/>
      </w:pPr>
      <w:r>
        <w:t xml:space="preserve">Ladson-Billings, G. (1995). But That’s Just Good Teaching! The Case for Culturally Relevant Pedagogy.</w:t>
      </w:r>
      <w:r>
        <w:t xml:space="preserve"> </w:t>
      </w:r>
      <w:r>
        <w:rPr>
          <w:iCs/>
          <w:i/>
        </w:rPr>
        <w:t xml:space="preserve">Theory Into Practice</w:t>
      </w:r>
      <w:r>
        <w:t xml:space="preserve">, 34(3), 159-165.</w:t>
      </w:r>
    </w:p>
    <w:p>
      <w:pPr>
        <w:pStyle w:val="BodyText"/>
      </w:pPr>
      <w:r>
        <w:t xml:space="preserve">Miami-Dade County Public Schools. (2023).</w:t>
      </w:r>
      <w:r>
        <w:t xml:space="preserve"> </w:t>
      </w:r>
      <w:r>
        <w:rPr>
          <w:iCs/>
          <w:i/>
        </w:rPr>
        <w:t xml:space="preserve">Annual Report on Student Achievement and Demographics.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in Diverse Contexts: A Case Study of Secondary Education in Miami, United States</dc:title>
  <dc:creator/>
  <dc:language>en</dc:language>
  <cp:keywords/>
  <dcterms:created xsi:type="dcterms:W3CDTF">2026-07-29T08:05:03Z</dcterms:created>
  <dcterms:modified xsi:type="dcterms:W3CDTF">2026-07-29T08:05:03Z</dcterms:modified>
</cp:coreProperties>
</file>

<file path=docProps/custom.xml><?xml version="1.0" encoding="utf-8"?>
<Properties xmlns="http://schemas.openxmlformats.org/officeDocument/2006/custom-properties" xmlns:vt="http://schemas.openxmlformats.org/officeDocument/2006/docPropsVTypes"/>
</file>