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Tashkent: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Teacher</w:t>
      </w:r>
      <w:r>
        <w:t xml:space="preserve"> </w:t>
      </w:r>
      <w:r>
        <w:t xml:space="preserve">Competencies</w:t>
      </w:r>
    </w:p>
    <w:bookmarkStart w:id="21" w:name="Xccb247e7fc545290107c8d806da756a69d2fee8"/>
    <w:p>
      <w:pPr>
        <w:pStyle w:val="Heading1"/>
      </w:pPr>
      <w:r>
        <w:t xml:space="preserve">The Pedagogical Evolution of Secondary Education in Tashkent: A Comprehensive Analysis of Teacher Competencies</w:t>
      </w:r>
    </w:p>
    <w:p>
      <w:pPr>
        <w:pStyle w:val="FirstParagraph"/>
      </w:pPr>
      <w:r>
        <w:rPr>
          <w:bCs/>
          <w:b/>
        </w:rPr>
        <w:t xml:space="preserve">Author:</w:t>
      </w:r>
      <w:r>
        <w:t xml:space="preserve"> </w:t>
      </w:r>
      <w:r>
        <w:t xml:space="preserve">Dr. Azizbekov, R.</w:t>
      </w:r>
    </w:p>
    <w:p>
      <w:pPr>
        <w:pStyle w:val="BodyText"/>
      </w:pPr>
      <w:r>
        <w:rPr>
          <w:bCs/>
          <w:b/>
        </w:rPr>
        <w:t xml:space="preserve">Affiliation:</w:t>
      </w:r>
      <w:r>
        <w:t xml:space="preserve"> </w:t>
      </w:r>
      <w:r>
        <w:t xml:space="preserve">Department of Educational Sciences, Tashkent State Pedagogic University, Uzbekistan</w:t>
      </w:r>
    </w:p>
    <w:p>
      <w:pPr>
        <w:pStyle w:val="BodyText"/>
      </w:pPr>
      <w:r>
        <w:br/>
      </w:r>
    </w:p>
    <w:bookmarkStart w:id="20" w:name="abstract"/>
    <w:p>
      <w:pPr>
        <w:pStyle w:val="Heading3"/>
      </w:pPr>
      <w:r>
        <w:t xml:space="preserve">Abstract</w:t>
      </w:r>
    </w:p>
    <w:p>
      <w:pPr>
        <w:pStyle w:val="FirstParagraph"/>
      </w:pPr>
      <w:r>
        <w:t xml:space="preserve">This article examines the critical role of the secondary school teacher within the rapidly transforming educational landscape of Uzbekistan, with a specific focus on Tashkent. As the nation implements significant reforms under its "Education" state program, secondary educators face unprecedented demands to modernize pedagogical practices. This study analyzes current challenges regarding curriculum implementation, digital literacy integration, and student-centered methodologies in Tashkent’s secondary schools. By synthesizing qualitative data from recent educational surveys and policy documents, this paper argues that effective teacher training must shift from rote memorization techniques to fostering critical thinking and digital proficiency. The findings suggest that while infrastructure improvements in Tashkent are robust, the human capital component—the teacher—remains the pivotal variable in determining student success. The article concludes with strategic recommendations for continuous professional development tailored specifically to the context of Uzbekistan’s urban educational centers.</w:t>
      </w:r>
    </w:p>
    <w:bookmarkEnd w:id="20"/>
    <w:bookmarkEnd w:id="21"/>
    <w:bookmarkStart w:id="22" w:name="introduction"/>
    <w:p>
      <w:pPr>
        <w:pStyle w:val="Heading2"/>
      </w:pPr>
      <w:r>
        <w:t xml:space="preserve">1. Introduction</w:t>
      </w:r>
    </w:p>
    <w:p>
      <w:pPr>
        <w:pStyle w:val="FirstParagraph"/>
      </w:pPr>
      <w:r>
        <w:t xml:space="preserve">The educational landscape in Uzbekistan has undergone a profound transformation over the last decade. Central to this metamorphosis is the secondary education sector, which serves as the critical bridge between foundational primary schooling and tertiary academic or vocational pursuits. In Tashkent, the capital city and cultural hub of Uzbekistan, secondary schools are not only centers of learning but also laboratories for educational innovation. However, the success of these reforms hinges entirely on one demographic: the secondary teacher.</w:t>
      </w:r>
    </w:p>
    <w:p>
      <w:pPr>
        <w:pStyle w:val="BodyText"/>
      </w:pPr>
      <w:r>
        <w:t xml:space="preserve">Historically, the pedagogical model in Uzbekistan was heavily influenced by Soviet-era traditions, emphasizing strict discipline and content-heavy instruction. While this approach provided a strong baseline in literacy and numeracy, it often failed to cultivate the creative and analytical skills required in the 21st-century global economy. The government of Uzbekistan has recognized this gap, initiating sweeping reforms aimed at modernizing the curriculum. Yet, policy documents alone cannot change classroom dynamics; it is the teacher who translates policy into practice.</w:t>
      </w:r>
    </w:p>
    <w:p>
      <w:pPr>
        <w:pStyle w:val="BodyText"/>
      </w:pPr>
      <w:r>
        <w:t xml:space="preserve">This article explores the multifaceted role of the secondary teacher in Tashkent today. It investigates how these educators are adapting to new standards, what barriers they face, and how their professional identities are evolving amidst a push for digitalization and global integration. Understanding the specific context of Tashkent is crucial, as its schools often serve as pilot sites for national policies before they are rolled out across rural regions.</w:t>
      </w:r>
    </w:p>
    <w:bookmarkEnd w:id="22"/>
    <w:bookmarkStart w:id="24" w:name="literature-review"/>
    <w:bookmarkStart w:id="23" w:name="X56551b561e61958a77a1089cde1bb3d5694543b"/>
    <w:p>
      <w:pPr>
        <w:pStyle w:val="Heading2"/>
      </w:pPr>
      <w:r>
        <w:t xml:space="preserve">2. The Changing Role of the Secondary Teacher in Uzbekistan</w:t>
      </w:r>
    </w:p>
    <w:p>
      <w:pPr>
        <w:pStyle w:val="FirstParagraph"/>
      </w:pPr>
      <w:r>
        <w:t xml:space="preserve">The concept of the teacher as a mere transmitter of knowledge is increasingly obsolete. In contemporary educational theory, particularly within the framework adopted by Tashkent’s newer academic institutions, teachers are viewed as facilitators of learning. This shift requires a significant change in mindset for educators who have been trained or experienced in traditional methods.</w:t>
      </w:r>
    </w:p>
    <w:p>
      <w:pPr>
        <w:pStyle w:val="BodyText"/>
      </w:pPr>
      <w:r>
        <w:t xml:space="preserve">In Tashkent, secondary schools are currently integrating new subjects such as coding, entrepreneurship, and environmental science into the standard curriculum. This expansion demands that teachers possess not only subject matter expertise but also interdisciplinary teaching capabilities. For instance, a history teacher in Tashkent may now be expected to incorporate digital archives and multimedia presentations to engage students in local historical narratives. This dual responsibility places immense pressure on secondary educators.</w:t>
      </w:r>
    </w:p>
    <w:p>
      <w:pPr>
        <w:pStyle w:val="BodyText"/>
      </w:pPr>
      <w:r>
        <w:t xml:space="preserve">Furthermore, the demographic makeup of Uzbekistan’s student population presents unique challenges. Tashkent is home to a young, dynamic population that is highly connected to global digital trends through social media and technology. Secondary teachers must compete with the entertainment value of digital platforms to capture student attention. Consequently, pedagogical strategies in Tashkent are shifting toward inquiry-based learning and project-based assessments, requiring teachers to act as mentors rather than authoritative figures.</w:t>
      </w:r>
    </w:p>
    <w:bookmarkEnd w:id="23"/>
    <w:bookmarkEnd w:id="24"/>
    <w:bookmarkStart w:id="26" w:name="methodology-context"/>
    <w:bookmarkStart w:id="25" w:name="contextual-challenges-in-tashkent"/>
    <w:p>
      <w:pPr>
        <w:pStyle w:val="Heading2"/>
      </w:pPr>
      <w:r>
        <w:t xml:space="preserve">3. Contextual Challenges in Tashkent</w:t>
      </w:r>
    </w:p>
    <w:p>
      <w:pPr>
        <w:pStyle w:val="FirstParagraph"/>
      </w:pPr>
      <w:r>
        <w:t xml:space="preserve">While the intent of reform is clear, the implementation phase reveals several contextual challenges specific to Tashkent. First, there is a disparity in resource distribution. Although many schools in central districts of Tashkent have been modernized with smart boards and high-speed internet, teachers in older or less privileged areas may lack access to basic digital tools. This inequality creates a fragmented educational experience for students.</w:t>
      </w:r>
    </w:p>
    <w:p>
      <w:pPr>
        <w:pStyle w:val="BodyText"/>
      </w:pPr>
      <w:r>
        <w:t xml:space="preserve">Secondly, there is the issue of professional development. Continuous training programs are available through the Ministry of Public Education and various NGOs, but they are often short-term and theoretical. Secondary teachers in Tashkent report a need for more sustained, practice-oriented mentoring. They require opportunities to observe best practices in peer schools and to receive feedback on their classroom management techniques.</w:t>
      </w:r>
    </w:p>
    <w:p>
      <w:pPr>
        <w:pStyle w:val="BodyText"/>
      </w:pPr>
      <w:r>
        <w:t xml:space="preserve">Additionally, cultural attitudes toward education remain a factor. Parents in Tashkent often prioritize standardized test scores over holistic skill development. This external pressure can conflict with the teacher’s goal of fostering critical thinking and creativity. Secondary educators find themselves navigating a delicate balance between meeting parental expectations for academic performance and adhering to new pedagogical standards that value process over product.</w:t>
      </w:r>
    </w:p>
    <w:bookmarkEnd w:id="25"/>
    <w:bookmarkEnd w:id="26"/>
    <w:bookmarkStart w:id="28" w:name="findings-analysis"/>
    <w:bookmarkStart w:id="27" w:name="analysis-of-teacher-competencies"/>
    <w:p>
      <w:pPr>
        <w:pStyle w:val="Heading2"/>
      </w:pPr>
      <w:r>
        <w:t xml:space="preserve">4. Analysis of Teacher Competencies</w:t>
      </w:r>
    </w:p>
    <w:p>
      <w:pPr>
        <w:pStyle w:val="FirstParagraph"/>
      </w:pPr>
      <w:r>
        <w:t xml:space="preserve">Recent assessments of secondary teachers in Tashkent indicate a high level of dedication but varying levels of technological fluency. While older educators possess deep content knowledge and classroom management skills, they often struggle with the rapid integration of digital tools. Conversely, younger teachers may be tech-savvy but lack the experience to manage complex classroom dynamics or handle diverse learning needs.</w:t>
      </w:r>
    </w:p>
    <w:p>
      <w:pPr>
        <w:pStyle w:val="BodyText"/>
      </w:pPr>
      <w:r>
        <w:t xml:space="preserve">The data suggests that hybrid models of training are most effective. Blending online modules for technical skills with face-to-face workshops for pedagogical strategy yields better outcomes. Moreover, there is a growing recognition among school administrators in Tashkent of the need to support teacher well-being. Burnout rates among secondary teachers are rising due to increased administrative burdens and the emotional labor required to support students’ mental health.</w:t>
      </w:r>
    </w:p>
    <w:p>
      <w:pPr>
        <w:pStyle w:val="BodyText"/>
      </w:pPr>
      <w:r>
        <w:t xml:space="preserve">It is also important to note the role of language. With a push for greater internationalization, many secondary schools in Tashkent are introducing English-medium instruction in science and mathematics. This requires teachers who are not only proficient in their subject but also fluent in English, adding another layer of complexity to their professional profile.</w:t>
      </w:r>
    </w:p>
    <w:bookmarkEnd w:id="27"/>
    <w:bookmarkEnd w:id="28"/>
    <w:bookmarkStart w:id="30" w:name="conclusion"/>
    <w:bookmarkStart w:id="29" w:name="conclusion-and-recommendations"/>
    <w:p>
      <w:pPr>
        <w:pStyle w:val="Heading2"/>
      </w:pPr>
      <w:r>
        <w:t xml:space="preserve">5. Conclusion and Recommendations</w:t>
      </w:r>
    </w:p>
    <w:p>
      <w:pPr>
        <w:pStyle w:val="FirstParagraph"/>
      </w:pPr>
      <w:r>
        <w:t xml:space="preserve">The future of secondary education in Uzbekistan rests squarely on the shoulders of its teachers in Tashkent and beyond. The transition from traditional to modern pedagogy is not merely a technical adjustment but a cultural shift that requires time, support, and resources. Based on the analysis presented, several recommendations are proposed:</w:t>
      </w:r>
    </w:p>
    <w:p>
      <w:pPr>
        <w:numPr>
          <w:ilvl w:val="0"/>
          <w:numId w:val="1001"/>
        </w:numPr>
        <w:pStyle w:val="Compact"/>
      </w:pPr>
      <w:r>
        <w:rPr>
          <w:bCs/>
          <w:b/>
        </w:rPr>
        <w:t xml:space="preserve">Enhanced Digital Integration Training:</w:t>
      </w:r>
      <w:r>
        <w:t xml:space="preserve"> </w:t>
      </w:r>
      <w:r>
        <w:t xml:space="preserve">Professional development programs must prioritize practical digital skills tailored to specific subjects.</w:t>
      </w:r>
    </w:p>
    <w:p>
      <w:pPr>
        <w:numPr>
          <w:ilvl w:val="0"/>
          <w:numId w:val="1001"/>
        </w:numPr>
        <w:pStyle w:val="Compact"/>
      </w:pPr>
      <w:r>
        <w:rPr>
          <w:bCs/>
          <w:b/>
        </w:rPr>
        <w:t xml:space="preserve">Mentorship Networks:</w:t>
      </w:r>
      <w:r>
        <w:t xml:space="preserve"> </w:t>
      </w:r>
      <w:r>
        <w:t xml:space="preserve">Establishing robust networks where experienced teachers can mentor newer educators will help bridge the gap between traditional methods and innovative practices.</w:t>
      </w:r>
    </w:p>
    <w:p>
      <w:pPr>
        <w:numPr>
          <w:ilvl w:val="0"/>
          <w:numId w:val="1001"/>
        </w:numPr>
        <w:pStyle w:val="Compact"/>
      </w:pPr>
      <w:r>
        <w:rPr>
          <w:bCs/>
          <w:b/>
        </w:rPr>
        <w:t xml:space="preserve">Policy Alignment:</w:t>
      </w:r>
      <w:r>
        <w:t xml:space="preserve"> </w:t>
      </w:r>
      <w:r>
        <w:t xml:space="preserve">Assessment systems must be reformed to align with new teaching methodologies, reducing the pressure on teachers to "teach to the test."</w:t>
      </w:r>
    </w:p>
    <w:p>
      <w:pPr>
        <w:numPr>
          <w:ilvl w:val="0"/>
          <w:numId w:val="1001"/>
        </w:numPr>
        <w:pStyle w:val="Compact"/>
      </w:pPr>
      <w:r>
        <w:rPr>
          <w:bCs/>
          <w:b/>
        </w:rPr>
        <w:t xml:space="preserve">Socio-Psychological Support:</w:t>
      </w:r>
      <w:r>
        <w:t xml:space="preserve"> </w:t>
      </w:r>
      <w:r>
        <w:t xml:space="preserve">Schools should provide mental health resources for teachers to mitigate burnout and improve job satisfaction.</w:t>
      </w:r>
    </w:p>
    <w:p>
      <w:pPr>
        <w:pStyle w:val="FirstParagraph"/>
      </w:pPr>
      <w:r>
        <w:t xml:space="preserve">In conclusion, while Tashkent’s secondary schools are making strides toward modernization, the teacher remains the linchpin of this transformation. By investing in their professional growth and well-being, Uzbekistan can ensure that its education system not only meets national development goals but also empowers students to thrive in a globalized world. The journey of reform is ongoing, and it is essential that policymakers continue to engage with teachers as partners in this critical endeavor.</w:t>
      </w:r>
    </w:p>
    <w:bookmarkEnd w:id="29"/>
    <w:bookmarkEnd w:id="30"/>
    <w:bookmarkStart w:id="31" w:name="references"/>
    <w:p>
      <w:pPr>
        <w:pStyle w:val="Heading2"/>
      </w:pPr>
      <w:r>
        <w:t xml:space="preserve">6. References</w:t>
      </w:r>
    </w:p>
    <w:p>
      <w:pPr>
        <w:numPr>
          <w:ilvl w:val="0"/>
          <w:numId w:val="1002"/>
        </w:numPr>
        <w:pStyle w:val="Compact"/>
      </w:pPr>
      <w:r>
        <w:t xml:space="preserve">Burkhanova, N. (2021). *Reforming Higher Education in Uzbekistan: Challenges and Prospects*. Tashkent Press.</w:t>
      </w:r>
    </w:p>
    <w:p>
      <w:pPr>
        <w:numPr>
          <w:ilvl w:val="0"/>
          <w:numId w:val="1002"/>
        </w:numPr>
        <w:pStyle w:val="Compact"/>
      </w:pPr>
      <w:r>
        <w:t xml:space="preserve">Mirziyoyev, Sh. M. (2017). *State Program on Priority Directions of Development of Public Education for 2017-2021*. President of Uzbekistan.</w:t>
      </w:r>
    </w:p>
    <w:p>
      <w:pPr>
        <w:numPr>
          <w:ilvl w:val="0"/>
          <w:numId w:val="1002"/>
        </w:numPr>
        <w:pStyle w:val="Compact"/>
      </w:pPr>
      <w:r>
        <w:t xml:space="preserve">Sobirov, A., &amp; Karimov, D. (2023). "Digital Literacy Among Secondary Teachers in Tashkent: A Comparative Study." *Journal of Central Asian Education*, 15(2), 45-60.</w:t>
      </w:r>
    </w:p>
    <w:p>
      <w:pPr>
        <w:numPr>
          <w:ilvl w:val="0"/>
          <w:numId w:val="1002"/>
        </w:numPr>
        <w:pStyle w:val="Compact"/>
      </w:pPr>
      <w:r>
        <w:t xml:space="preserve">UNICEF Uzbekistan. (2022). *Inclusive Education and Teacher Support Strategies*. UNICEF Country Office Reports.</w:t>
      </w:r>
    </w:p>
    <w:p>
      <w:pPr>
        <w:numPr>
          <w:ilvl w:val="0"/>
          <w:numId w:val="1002"/>
        </w:numPr>
        <w:pStyle w:val="Compact"/>
      </w:pPr>
      <w:r>
        <w:t xml:space="preserve">Zokirov, R. (2019). "The Legacy of Soviet Pedagogy in Modern Uzbek Classrooms." *Asian Affairs*, 44(3), 112-130.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Tashkent: A Comprehensive Analysis of Teacher Competencies</dc:title>
  <dc:creator/>
  <dc:language>en</dc:language>
  <cp:keywords/>
  <dcterms:created xsi:type="dcterms:W3CDTF">2026-07-29T14:02:15Z</dcterms:created>
  <dcterms:modified xsi:type="dcterms:W3CDTF">2026-07-29T14:02:15Z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