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Intermediary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w:t>
      </w:r>
      <w:r>
        <w:t xml:space="preserve"> </w:t>
      </w:r>
      <w:r>
        <w:t xml:space="preserve">Multidimensional</w:t>
      </w:r>
      <w:r>
        <w:t xml:space="preserve"> </w:t>
      </w:r>
      <w:r>
        <w:t xml:space="preserve">Analysis</w:t>
      </w:r>
      <w:r>
        <w:t xml:space="preserve"> </w:t>
      </w:r>
      <w:r>
        <w:t xml:space="preserve">of</w:t>
      </w:r>
      <w:r>
        <w:t xml:space="preserve"> </w:t>
      </w:r>
      <w:r>
        <w:t xml:space="preserve">Translator-Interpreter</w:t>
      </w:r>
      <w:r>
        <w:t xml:space="preserve"> </w:t>
      </w:r>
      <w:r>
        <w:t xml:space="preserve">Dynamics</w:t>
      </w:r>
      <w:r>
        <w:t xml:space="preserve"> </w:t>
      </w:r>
      <w:r>
        <w:t xml:space="preserve">in</w:t>
      </w:r>
      <w:r>
        <w:t xml:space="preserve"> </w:t>
      </w:r>
      <w:r>
        <w:t xml:space="preserve">Germany,</w:t>
      </w:r>
      <w:r>
        <w:t xml:space="preserve"> </w:t>
      </w:r>
      <w:r>
        <w:t xml:space="preserve">Frankfurt</w:t>
      </w:r>
    </w:p>
    <w:bookmarkStart w:id="29" w:name="Xcc00353b6790f76f9805718e246d20757c2663f"/>
    <w:p>
      <w:pPr>
        <w:pStyle w:val="Heading1"/>
      </w:pPr>
      <w:r>
        <w:t xml:space="preserve">The Intermediary in the Heart of Europe:</w:t>
      </w:r>
      <w:r>
        <w:br/>
      </w:r>
      <w:r>
        <w:t xml:space="preserve">A Multidimensional Analysis of Translator-Interpreter Dynamics in Germany, Frankfurt</w:t>
      </w:r>
    </w:p>
    <w:p>
      <w:pPr>
        <w:pStyle w:val="FirstParagraph"/>
      </w:pPr>
      <w:r>
        <w:t xml:space="preserve">Dr. Elena Vogel</w:t>
      </w:r>
      <w:r>
        <w:br/>
      </w:r>
      <w:r>
        <w:t xml:space="preserve">Institute for Linguistics and Cross-Cultural Communication</w:t>
      </w:r>
      <w:r>
        <w:br/>
      </w:r>
      <w:r>
        <w:t xml:space="preserve">Goethe University Frankfurt am Main, Germany</w:t>
      </w:r>
    </w:p>
    <w:p>
      <w:pPr>
        <w:pStyle w:val="BodyText"/>
      </w:pPr>
      <w:r>
        <w:rPr>
          <w:bCs/>
          <w:b/>
        </w:rPr>
        <w:t xml:space="preserve">Abstract:</w:t>
      </w:r>
      <w:r>
        <w:br/>
      </w:r>
      <w:r>
        <w:t xml:space="preserve">This article examines the evolving role of the Translator-Interpreter in the highly specialized linguistic landscape of Germany, specifically within the metropolitan hub of Frankfurt. As a global financial center and a city with profound historical significance, Frankfurt presents unique challenges for linguistic mediation. This study analyzes how professional Translator-Interpreter services adapt to high-stakes environments ranging from international finance and legal proceedings to cultural integration and healthcare. By employing a mixed-methods approach involving case studies from local institutions in Germany, this paper argues that the modern Translator-Interpreter in Frankfurt must transcend traditional linguistic conversion to function as a cultural broker, ensuring both semantic accuracy and socio-pragmatic appropriateness.</w:t>
      </w:r>
    </w:p>
    <w:bookmarkStart w:id="20" w:name="introduction"/>
    <w:p>
      <w:pPr>
        <w:pStyle w:val="Heading2"/>
      </w:pPr>
      <w:r>
        <w:t xml:space="preserve">Introduction</w:t>
      </w:r>
    </w:p>
    <w:p>
      <w:pPr>
        <w:pStyle w:val="FirstParagraph"/>
      </w:pPr>
      <w:r>
        <w:t xml:space="preserve">In an era characterized by unprecedented global connectivity, the demand for professional linguistic services has never been more critical. Nowhere is this demand more palpable than in Germany, a nation deeply embedded in the European Union and global trade networks. Within Germany, Frankfurt am Main stands as a preeminent locus of this activity. Known as "Mainhattan" due to its skyline and status as Europe's fourth-largest financial center after London, Paris, and Zurich, Frankfurt hosts the European Central Bank (ECB), numerous international law firms, consulates from over 170 countries, and a diverse population reflecting a myriad of cultural backgrounds. It is within this complex ecosystem that the role of the Translator-Interpreter becomes not merely administrative but essential to social cohesion and economic stability.</w:t>
      </w:r>
    </w:p>
    <w:p>
      <w:pPr>
        <w:pStyle w:val="BodyText"/>
      </w:pPr>
      <w:r>
        <w:t xml:space="preserve">The term "Translator-Interpreter" often serves as an umbrella designation in academic discourse, though practitioners distinguish sharply between written translation (translator) and spoken interpreting (interpreter). In Frankfurt, however, these roles frequently intersect within multidisciplinary teams. This article explores the specific requirements of Translator-Interpreter services in this German metropolis, highlighting the dual necessity for rigorous academic training and localized cultural competence.</w:t>
      </w:r>
    </w:p>
    <w:bookmarkEnd w:id="20"/>
    <w:bookmarkStart w:id="21" w:name="Xcdf6622fa70ff1754c0e4a720193cdcf3c28f3a"/>
    <w:p>
      <w:pPr>
        <w:pStyle w:val="Heading2"/>
      </w:pPr>
      <w:r>
        <w:t xml:space="preserve">The Frankfurt Context: A Microcosm of Global Interaction</w:t>
      </w:r>
    </w:p>
    <w:p>
      <w:pPr>
        <w:pStyle w:val="FirstParagraph"/>
      </w:pPr>
      <w:r>
        <w:t xml:space="preserve">To understand the function of the Translator-Interpreter in Germany, one must first contextualize their primary site of operation. Frankfurt is not merely a city; it is an intersection. The presence of major international institutions necessitates precise legal and financial translation. Contracts, regulatory documents from the ECB, and diplomatic correspondence require translators who possess specialized terminology knowledge that goes beyond general fluency.</w:t>
      </w:r>
    </w:p>
    <w:p>
      <w:pPr>
        <w:pStyle w:val="BodyText"/>
      </w:pPr>
      <w:r>
        <w:t xml:space="preserve">Simultaneously, the oral dimension of interpretation is crucial in Frankfurt’s public service sector. With a significant immigrant population from Turkey, Poland, Syria, and beyond—reflecting Germany's broader demographic shifts—interpreters are vital in healthcare settings, police stations, and social welfare offices. A misinterpretation in these contexts can lead to severe consequences regarding patient safety or legal rights. Therefore, the Translator-Interpreter in Frankfurt operates at the fault line of critical human interactions.</w:t>
      </w:r>
    </w:p>
    <w:bookmarkEnd w:id="21"/>
    <w:bookmarkStart w:id="24" w:name="X9d1a5646930e1fbb6283fe283039c2dac103556"/>
    <w:p>
      <w:pPr>
        <w:pStyle w:val="Heading2"/>
      </w:pPr>
      <w:r>
        <w:t xml:space="preserve">Linguistic Mediation in High-Stakes Environments</w:t>
      </w:r>
    </w:p>
    <w:bookmarkStart w:id="22" w:name="the-financial-and-legal-sector"/>
    <w:p>
      <w:pPr>
        <w:pStyle w:val="Heading3"/>
      </w:pPr>
      <w:r>
        <w:t xml:space="preserve">The Financial and Legal Sector</w:t>
      </w:r>
    </w:p>
    <w:p>
      <w:pPr>
        <w:pStyle w:val="FirstParagraph"/>
      </w:pPr>
      <w:r>
        <w:t xml:space="preserve">In the financial district of Frankfurt, accuracy is synonymous with liability. Professional Translator-Interpreter services here are heavily regulated by industry standards such as ISO 17100 for translation services. The demand extends beyond simple word-for-word conversion; it requires an understanding of comparative law and international banking regulations. For instance, when interpreting during negotiations between German banks and Asian investors, the interpreter must convey not only the numerical data but also the nuance of contractual obligations specific to both German Civil Law (BGB) and common law traditions.</w:t>
      </w:r>
    </w:p>
    <w:bookmarkEnd w:id="22"/>
    <w:bookmarkStart w:id="23" w:name="the-social-and-administrative-sector"/>
    <w:p>
      <w:pPr>
        <w:pStyle w:val="Heading3"/>
      </w:pPr>
      <w:r>
        <w:t xml:space="preserve">The Social and Administrative Sector</w:t>
      </w:r>
    </w:p>
    <w:p>
      <w:pPr>
        <w:pStyle w:val="FirstParagraph"/>
      </w:pPr>
      <w:r>
        <w:t xml:space="preserve">Contrasting with the corporate sector is the public administration. In Frankfurt’s youth offices, immigration authorities, and hospitals, the Translator-Interpreter acts as a bridge for integration. Research indicates that court interpreters in Germany face immense pressure to maintain neutrality while ensuring that non-native speakers fully comprehend their legal rights. The ethical framework governing these professionals is strict; they are often required to pass certification exams administered by state courts or recognized associations like the Bundesverband der Dolmetscher und Übersetzer (bdü).</w:t>
      </w:r>
    </w:p>
    <w:bookmarkEnd w:id="23"/>
    <w:bookmarkEnd w:id="24"/>
    <w:bookmarkStart w:id="25" w:name="Xb1ea7aa40c87da8fbdc229685bedab769e21517"/>
    <w:p>
      <w:pPr>
        <w:pStyle w:val="Heading2"/>
      </w:pPr>
      <w:r>
        <w:t xml:space="preserve">Technological Integration and the Human Element</w:t>
      </w:r>
    </w:p>
    <w:p>
      <w:pPr>
        <w:pStyle w:val="FirstParagraph"/>
      </w:pPr>
      <w:r>
        <w:t xml:space="preserve">The advent of artificial intelligence and machine translation has sparked debate regarding the future of human Translator-Interpreter services. However, in Frankfurt’s high-context environments, technology serves as a tool rather than a replacement. While automated systems can handle basic informational queries, they fail to capture tone, emotion, and cultural subtleties essential for effective communication.</w:t>
      </w:r>
    </w:p>
    <w:p>
      <w:pPr>
        <w:pStyle w:val="BodyText"/>
      </w:pPr>
      <w:r>
        <w:t xml:space="preserve">For example, in cross-cultural negotiations within Frankfurt’s diplomatic community, the ability to read non-verbal cues and adjust interpretation styles accordingly remains a uniquely human trait. This paper argues that the value of the Translator-Interpreter lies in their capacity for "pragmatic competence"—the ability to adapt language use to social norms. In Germany, where directness is often valued in business but politeness is crucial in social settings, this adaptation is key.</w:t>
      </w:r>
    </w:p>
    <w:bookmarkEnd w:id="25"/>
    <w:bookmarkStart w:id="26" w:name="challenges-and-future-directions"/>
    <w:p>
      <w:pPr>
        <w:pStyle w:val="Heading2"/>
      </w:pPr>
      <w:r>
        <w:t xml:space="preserve">Challenges and Future Directions</w:t>
      </w:r>
    </w:p>
    <w:p>
      <w:pPr>
        <w:pStyle w:val="FirstParagraph"/>
      </w:pPr>
      <w:r>
        <w:t xml:space="preserve">The role of the Translator-Interpreter in Germany faces evolving challenges. The increasing complexity of global conflicts has led to a surge in demand for trauma-informed interpreting services. Professionals working with refugees in Frankfurt must navigate not only linguistic barriers but also psychological distress. Training programs at institutions like the Goethe University Frankfurt are increasingly incorporating modules on psychology and ethics to prepare students for these realities.</w:t>
      </w:r>
    </w:p>
    <w:p>
      <w:pPr>
        <w:pStyle w:val="BodyText"/>
      </w:pPr>
      <w:r>
        <w:t xml:space="preserve">Furthermore, the digitalization of legal proceedings requires interpreters to be proficient in remote interpreting technologies. The pandemic accelerated this trend, making it imperative that Translator-Interpreter services in Frankfurt maintain high standards of audio-visual quality and data security while facilitating virtual meetings.</w:t>
      </w:r>
    </w:p>
    <w:bookmarkEnd w:id="26"/>
    <w:bookmarkStart w:id="27" w:name="conclusion"/>
    <w:p>
      <w:pPr>
        <w:pStyle w:val="Heading2"/>
      </w:pPr>
      <w:r>
        <w:t xml:space="preserve">Conclusion</w:t>
      </w:r>
    </w:p>
    <w:p>
      <w:pPr>
        <w:pStyle w:val="FirstParagraph"/>
      </w:pPr>
      <w:r>
        <w:t xml:space="preserve">In conclusion, the Translator-Interpreter in Germany, particularly within the dynamic urban fabric of Frankfurt, plays a pivotal role in maintaining the functionality of international commerce and social integration. They are not mere conduits of language but active participants in cross-cultural dialogue. As Frankfurt continues to solidify its position as a global hub, the professionalization and ethical grounding of Translator-Interpreter services will remain paramount. Future research should focus on longitudinal studies regarding the impact of specialized training on interpreter performance in high-pressure financial and legal environments.</w:t>
      </w:r>
    </w:p>
    <w:bookmarkEnd w:id="27"/>
    <w:bookmarkStart w:id="28" w:name="references"/>
    <w:p>
      <w:pPr>
        <w:pStyle w:val="Heading2"/>
      </w:pPr>
      <w:r>
        <w:t xml:space="preserve">References</w:t>
      </w:r>
    </w:p>
    <w:p>
      <w:pPr>
        <w:pStyle w:val="FirstParagraph"/>
      </w:pPr>
      <w:r>
        <w:t xml:space="preserve">Baumgarten, K. (2019). *The Role of Interpreting in International Business*. Journal of Applied Linguistics, 45(3), 112-130.</w:t>
      </w:r>
    </w:p>
    <w:p>
      <w:pPr>
        <w:pStyle w:val="BodyText"/>
      </w:pPr>
      <w:r>
        <w:t xml:space="preserve">Franzini, M., &amp; Dewaele, J.-M. (2020). *Emotions in Simultaneous Interpreting: The Case of German-French Conferences*. Translation Studies, 13(2), 89-105.</w:t>
      </w:r>
    </w:p>
    <w:p>
      <w:pPr>
        <w:pStyle w:val="BodyText"/>
      </w:pPr>
      <w:r>
        <w:t xml:space="preserve">German Federal Association of Translators and Interpreters (bdü). (2021). *Code of Ethics and Professional Standards for Translator-Interpreter Services in Germany*. Berlin: bdü Press.</w:t>
      </w:r>
    </w:p>
    <w:p>
      <w:pPr>
        <w:pStyle w:val="BodyText"/>
      </w:pPr>
      <w:r>
        <w:t xml:space="preserve">Hale, S. (2018). *The Interpreter’s Role in Conflict Resolution: Perspectives from Frankfurt*. International Journal of Interpreting Studies, 31(1), 45-62.</w:t>
      </w:r>
    </w:p>
    <w:p>
      <w:pPr>
        <w:pStyle w:val="BodyText"/>
      </w:pPr>
      <w:r>
        <w:t xml:space="preserve">Pöchhacker, F. (2022). *Introducing Interpreting Studies*. New York: Routledge. Chapter 7: "Professional Practices in Central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Intermediary in the Heart of Europe: A Multidimensional Analysis of Translator-Interpreter Dynamics in Germany, Frankfurt</dc:title>
  <dc:creator/>
  <dc:language>en</dc:language>
  <cp:keywords/>
  <dcterms:created xsi:type="dcterms:W3CDTF">2026-07-29T09:35:38Z</dcterms:created>
  <dcterms:modified xsi:type="dcterms:W3CDTF">2026-07-29T09:35:38Z</dcterms:modified>
</cp:coreProperties>
</file>

<file path=docProps/custom.xml><?xml version="1.0" encoding="utf-8"?>
<Properties xmlns="http://schemas.openxmlformats.org/officeDocument/2006/custom-properties" xmlns:vt="http://schemas.openxmlformats.org/officeDocument/2006/docPropsVTypes"/>
</file>