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Nexus:</w:t>
      </w:r>
      <w:r>
        <w:t xml:space="preserve"> </w:t>
      </w:r>
      <w:r>
        <w:t xml:space="preserve">Navigating</w:t>
      </w:r>
      <w:r>
        <w:t xml:space="preserve"> </w:t>
      </w:r>
      <w:r>
        <w:t xml:space="preserve">Professional</w:t>
      </w:r>
      <w:r>
        <w:t xml:space="preserve"> </w:t>
      </w:r>
      <w:r>
        <w:t xml:space="preserve">Standards</w:t>
      </w:r>
      <w:r>
        <w:t xml:space="preserve"> </w:t>
      </w:r>
      <w:r>
        <w:t xml:space="preserve">for</w:t>
      </w:r>
      <w:r>
        <w:t xml:space="preserve"> </w:t>
      </w:r>
      <w:r>
        <w:t xml:space="preserve">Translator-Interpreter</w:t>
      </w:r>
      <w:r>
        <w:t xml:space="preserve"> </w:t>
      </w:r>
      <w:r>
        <w:t xml:space="preserve">Services</w:t>
      </w:r>
      <w:r>
        <w:t xml:space="preserve"> </w:t>
      </w:r>
      <w:r>
        <w:t xml:space="preserve">in</w:t>
      </w:r>
      <w:r>
        <w:t xml:space="preserve"> </w:t>
      </w:r>
      <w:r>
        <w:t xml:space="preserve">Indonesia’s</w:t>
      </w:r>
      <w:r>
        <w:t xml:space="preserve"> </w:t>
      </w:r>
      <w:r>
        <w:t xml:space="preserve">Capital</w:t>
      </w:r>
    </w:p>
    <w:bookmarkStart w:id="28" w:name="the-linguistic-nexus"/>
    <w:p>
      <w:pPr>
        <w:pStyle w:val="Heading1"/>
      </w:pPr>
      <w:r>
        <w:t xml:space="preserve">The Linguistic Nexus:</w:t>
      </w:r>
    </w:p>
    <w:bookmarkStart w:id="27" w:name="X628fae69f663db1649ce4197b6f8ec9ce363848"/>
    <w:p>
      <w:pPr>
        <w:pStyle w:val="Heading2"/>
      </w:pPr>
      <w:r>
        <w:t xml:space="preserve">Navigating Professional Standards for Translator-Interpreter Services in Indonesia’s Capital</w:t>
      </w:r>
    </w:p>
    <w:p>
      <w:pPr>
        <w:pStyle w:val="FirstParagraph"/>
      </w:pPr>
      <w:r>
        <w:br/>
      </w:r>
      <w:r>
        <w:br/>
      </w:r>
    </w:p>
    <w:p>
      <w:pPr>
        <w:pStyle w:val="BodyText"/>
      </w:pPr>
      <w:r>
        <w:rPr>
          <w:iCs/>
          <w:i/>
          <w:bCs/>
          <w:b/>
        </w:rPr>
        <w:t xml:space="preserve">Journal of Applied Linguistics and Southeast Asian Studies, Vol. 14, Issue 3</w:t>
      </w:r>
    </w:p>
    <w:p>
      <w:pPr>
        <w:pStyle w:val="BodyText"/>
      </w:pPr>
      <w:r>
        <w:rPr>
          <w:iCs/>
          <w:i/>
          <w:bCs/>
          <w:b/>
        </w:rPr>
        <w:t xml:space="preserve">Abstract:</w:t>
      </w:r>
      <w:r>
        <w:t xml:space="preserve"> </w:t>
      </w:r>
      <w:r>
        <w:t xml:space="preserve">This article examines the evolving landscape of translator and interpreter services in Indonesia Jakarta. As the economic and political hub of Southeast Asia, Indonesia Jakarta serves as a critical node for international diplomacy, commerce, and tourism. Consequently, the demand for high-quality linguistic mediation has surged. This study analyzes the current state of professional accreditation, the unique sociolinguistic challenges posed by multilingualism in urban centers, and the impact of digital technology on service delivery. The findings suggest that while proficiency in English remains paramount, there is a growing imperative for specialized training in legal and medical terminology tailored to Indonesian bureaucratic contexts.</w:t>
      </w:r>
    </w:p>
    <w:p>
      <w:pPr>
        <w:pStyle w:val="BodyText"/>
      </w:pPr>
      <w:r>
        <w:rPr>
          <w:iCs/>
          <w:i/>
          <w:bCs/>
          <w:b/>
        </w:rPr>
        <w:t xml:space="preserve">Keywords:</w:t>
      </w:r>
      <w:r>
        <w:t xml:space="preserve"> </w:t>
      </w:r>
      <w:r>
        <w:t xml:space="preserve">Translator-Interpreter, Indonesia Jakarta, Professional Accreditation, Sociolinguistics, Localization Services.</w:t>
      </w:r>
    </w:p>
    <w:p>
      <w:r>
        <w:pict>
          <v:rect style="width:0;height:1.5pt" o:hralign="center" o:hrstd="t" o:hr="t"/>
        </w:pict>
      </w:r>
    </w:p>
    <w:p>
      <w:pPr>
        <w:pStyle w:val="FirstParagraph"/>
      </w:pPr>
      <w:r>
        <w:br/>
      </w:r>
      <w:r>
        <w:br/>
      </w:r>
    </w:p>
    <w:bookmarkStart w:id="20" w:name="i.-introduction"/>
    <w:p>
      <w:pPr>
        <w:pStyle w:val="Heading3"/>
      </w:pPr>
      <w:r>
        <w:t xml:space="preserve">I. Introduction</w:t>
      </w:r>
    </w:p>
    <w:p>
      <w:pPr>
        <w:pStyle w:val="FirstParagraph"/>
      </w:pPr>
      <w:r>
        <w:t xml:space="preserve">In the rapidly globalizing economy of the twenty-first century, language serves as both a bridge and a barrier. For nations aspiring to integrate deeply into international networks, the quality of their linguistic infrastructure is paramount. Nowhere is this more evident than in Indonesia Jakarta, the bustling capital city that functions as the nerve center of Indonesian politics, finance, and culture. As</w:t>
      </w:r>
      <w:r>
        <w:t xml:space="preserve"> </w:t>
      </w:r>
      <w:r>
        <w:rPr>
          <w:bCs/>
          <w:b/>
        </w:rPr>
        <w:t xml:space="preserve">Indonesia Jakarta</w:t>
      </w:r>
      <w:r>
        <w:t xml:space="preserve"> </w:t>
      </w:r>
      <w:r>
        <w:t xml:space="preserve">continues to attract foreign direct investment and host high-level international summits, the role of the professional</w:t>
      </w:r>
      <w:r>
        <w:t xml:space="preserve"> </w:t>
      </w:r>
      <w:r>
        <w:rPr>
          <w:bCs/>
          <w:b/>
        </w:rPr>
        <w:t xml:space="preserve">Translator Interpreter</w:t>
      </w:r>
      <w:r>
        <w:t xml:space="preserve"> </w:t>
      </w:r>
      <w:r>
        <w:t xml:space="preserve">has shifted from a peripheral support service to a central component of operational efficiency.</w:t>
      </w:r>
    </w:p>
    <w:p>
      <w:pPr>
        <w:pStyle w:val="BodyText"/>
      </w:pPr>
      <w:r>
        <w:t xml:space="preserve">This article explores the critical intersection between linguistic precision and cultural competency within</w:t>
      </w:r>
      <w:r>
        <w:t xml:space="preserve"> </w:t>
      </w:r>
      <w:r>
        <w:rPr>
          <w:bCs/>
          <w:b/>
        </w:rPr>
        <w:t xml:space="preserve">Indonesia Jakarta</w:t>
      </w:r>
      <w:r>
        <w:t xml:space="preserve">. It argues that the traditional model of language exchange is insufficient for modern demands. Instead, there is an urgent need for standardized professional frameworks that recognize the distinct yet complementary skills of translation (written text) and interpretation (oral communication). By examining case studies from legal proceedings, medical consultations, and corporate negotiations in</w:t>
      </w:r>
      <w:r>
        <w:t xml:space="preserve"> </w:t>
      </w:r>
      <w:r>
        <w:rPr>
          <w:bCs/>
          <w:b/>
        </w:rPr>
        <w:t xml:space="preserve">Indonesia Jakarta</w:t>
      </w:r>
      <w:r>
        <w:t xml:space="preserve">, this paper highlights the necessity of rigorous academic and practical training for practitioners.</w:t>
      </w:r>
    </w:p>
    <w:bookmarkEnd w:id="20"/>
    <w:bookmarkStart w:id="21" w:name="X9e53aa9a7b88ed6c593629a63bd3dbe9f41af6b"/>
    <w:p>
      <w:pPr>
        <w:pStyle w:val="Heading3"/>
      </w:pPr>
      <w:r>
        <w:t xml:space="preserve">II. The Sociolinguistic Landscape of Indonesia Jakarta</w:t>
      </w:r>
    </w:p>
    <w:p>
      <w:pPr>
        <w:pStyle w:val="FirstParagraph"/>
      </w:pPr>
      <w:r>
        <w:t xml:space="preserve">To understand the demand for</w:t>
      </w:r>
      <w:r>
        <w:t xml:space="preserve"> </w:t>
      </w:r>
      <w:r>
        <w:rPr>
          <w:bCs/>
          <w:b/>
        </w:rPr>
        <w:t xml:space="preserve">Translator Interpreter</w:t>
      </w:r>
      <w:r>
        <w:t xml:space="preserve"> </w:t>
      </w:r>
      <w:r>
        <w:t xml:space="preserve">services, one must first appreciate the complex sociolinguistic environment of</w:t>
      </w:r>
      <w:r>
        <w:t xml:space="preserve"> </w:t>
      </w:r>
      <w:r>
        <w:rPr>
          <w:bCs/>
          <w:b/>
        </w:rPr>
        <w:t xml:space="preserve">Indonesia Jakarta</w:t>
      </w:r>
      <w:r>
        <w:t xml:space="preserve">. While Bahasa Indonesia serves as the national lingua franca,</w:t>
      </w:r>
      <w:r>
        <w:t xml:space="preserve"> </w:t>
      </w:r>
      <w:r>
        <w:rPr>
          <w:bCs/>
          <w:b/>
        </w:rPr>
        <w:t xml:space="preserve">Indonesia Jakarta</w:t>
      </w:r>
    </w:p>
    <w:p>
      <w:pPr>
        <w:pStyle w:val="BodyText"/>
      </w:pPr>
      <w:r>
        <w:t xml:space="preserve">society is characterized by significant linguistic diversity. In metropolitan areas, code-switching between Javanese, Betawi Sundanese and English is commonplace in informal settings but poses challenges for formal documentation.</w:t>
      </w:r>
    </w:p>
    <w:p>
      <w:pPr>
        <w:pStyle w:val="BodyText"/>
      </w:pPr>
      <w:r>
        <w:t xml:space="preserve">The presence of multinational corporations headquartered in the central business districts of</w:t>
      </w:r>
      <w:r>
        <w:t xml:space="preserve"> </w:t>
      </w:r>
      <w:r>
        <w:rPr>
          <w:bCs/>
          <w:b/>
        </w:rPr>
        <w:t xml:space="preserve">Indonesia Jakarta</w:t>
      </w:r>
      <w:r>
        <w:t xml:space="preserve">, such as Sudirman-Thamrin corridor, has created a specialized market for corporate interpretation. These entities require not only fluency but also an understanding of corporate jargon and cross-cultural communication protocols. Furthermore, the tourism industry in historic areas like Kota Tua relies heavily on interpreters who can navigate the nuances of cultural heritage terminology. The inability to accurately convey meaning in these contexts does not merely result in misunderstandings; it can lead to significant economic losses and diplomatic friction.</w:t>
      </w:r>
    </w:p>
    <w:bookmarkEnd w:id="21"/>
    <w:bookmarkStart w:id="22" w:name="Xab53dbfc59a22d8fd234c5e67fa111abbc84a81"/>
    <w:p>
      <w:pPr>
        <w:pStyle w:val="Heading3"/>
      </w:pPr>
      <w:r>
        <w:t xml:space="preserve">III. Professional Accreditation and Ethical Standards</w:t>
      </w:r>
    </w:p>
    <w:p>
      <w:pPr>
        <w:pStyle w:val="FirstParagraph"/>
      </w:pPr>
      <w:r>
        <w:t xml:space="preserve">A significant gap exists between the general pool of bilingual individuals and certified professional</w:t>
      </w:r>
      <w:r>
        <w:t xml:space="preserve"> </w:t>
      </w:r>
      <w:r>
        <w:rPr>
          <w:bCs/>
          <w:b/>
        </w:rPr>
        <w:t xml:space="preserve">Translator Interpreter</w:t>
      </w:r>
      <w:r>
        <w:t xml:space="preserve">s. In many regions, including parts of</w:t>
      </w:r>
      <w:r>
        <w:t xml:space="preserve"> </w:t>
      </w:r>
      <w:r>
        <w:rPr>
          <w:bCs/>
          <w:b/>
        </w:rPr>
        <w:t xml:space="preserve">Indonesia Jakarta</w:t>
      </w:r>
      <w:r>
        <w:t xml:space="preserve">, the title is often used loosely by those lacking formal training in translation theory or interpretation techniques. This lack of regulation undermines trust in legal and medical systems where precise language is critical.</w:t>
      </w:r>
    </w:p>
    <w:p>
      <w:pPr>
        <w:pStyle w:val="BodyText"/>
      </w:pPr>
      <w:r>
        <w:t xml:space="preserve">This article advocates for the adoption of strict accreditation standards akin to those found in developed linguistics markets. The Association of Translator-Interpreter Indonesia (ATII) has made strides, but broader implementation across</w:t>
      </w:r>
      <w:r>
        <w:t xml:space="preserve"> </w:t>
      </w:r>
      <w:r>
        <w:rPr>
          <w:bCs/>
          <w:b/>
        </w:rPr>
        <w:t xml:space="preserve">Indonesia Jakarta</w:t>
      </w:r>
    </w:p>
    <w:p>
      <w:pPr>
        <w:pStyle w:val="BodyText"/>
      </w:pPr>
      <w:r>
        <w:t xml:space="preserve">government agencies and private firms is necessary. Key components of this standardization include:</w:t>
      </w:r>
    </w:p>
    <w:p>
      <w:pPr>
        <w:numPr>
          <w:ilvl w:val="0"/>
          <w:numId w:val="1001"/>
        </w:numPr>
        <w:pStyle w:val="Compact"/>
      </w:pPr>
      <w:r>
        <w:rPr>
          <w:bCs/>
          <w:b/>
        </w:rPr>
        <w:t xml:space="preserve">Rigorous Testing:</w:t>
      </w:r>
      <w:r>
        <w:t xml:space="preserve"> </w:t>
      </w:r>
      <w:r>
        <w:t xml:space="preserve">Certification must assess not only language proficiency but also cultural knowledge, ethical decision-making, and specialized domain vocabulary.</w:t>
      </w:r>
    </w:p>
    <w:p>
      <w:pPr>
        <w:numPr>
          <w:ilvl w:val="0"/>
          <w:numId w:val="1001"/>
        </w:numPr>
        <w:pStyle w:val="Compact"/>
      </w:pPr>
      <w:r>
        <w:rPr>
          <w:bCs/>
          <w:b/>
        </w:rPr>
        <w:t xml:space="preserve">Ethical Codes:</w:t>
      </w:r>
      <w:r>
        <w:t xml:space="preserve"> </w:t>
      </w:r>
      <w:r>
        <w:t xml:space="preserve">Adherence to confidentiality, impartiality, and accuracy is non-negotiable. In</w:t>
      </w:r>
      <w:r>
        <w:t xml:space="preserve"> </w:t>
      </w:r>
      <w:r>
        <w:rPr>
          <w:bCs/>
          <w:b/>
        </w:rPr>
        <w:t xml:space="preserve">Indonesia Jakarta</w:t>
      </w:r>
      <w:r>
        <w:t xml:space="preserve">, where familial and social ties can influence professional interactions, maintaining strict professional boundaries is essential for the integrity of judicial proceedings.</w:t>
      </w:r>
    </w:p>
    <w:p>
      <w:pPr>
        <w:numPr>
          <w:ilvl w:val="0"/>
          <w:numId w:val="1001"/>
        </w:numPr>
      </w:pPr>
      <w:r>
        <w:rPr>
          <w:bCs/>
          <w:b/>
        </w:rPr>
        <w:t xml:space="preserve">Continuing Education:</w:t>
      </w:r>
      <w:r>
        <w:t xml:space="preserve"> </w:t>
      </w:r>
      <w:r>
        <w:t xml:space="preserve">The legal and medical fields evolve rapidly. Certified professionals in</w:t>
      </w:r>
      <w:r>
        <w:t xml:space="preserve"> </w:t>
      </w:r>
      <w:r>
        <w:rPr>
          <w:bCs/>
          <w:b/>
        </w:rPr>
        <w:t xml:space="preserve">Indonesia Jakarta</w:t>
      </w:r>
    </w:p>
    <w:p>
      <w:pPr>
        <w:numPr>
          <w:ilvl w:val="0"/>
          <w:numId w:val="1000"/>
        </w:numPr>
      </w:pPr>
      <w:r>
        <w:t xml:space="preserve">must engage in continuous learning to stay abreast of new terminologies and legislative changes.</w:t>
      </w:r>
    </w:p>
    <w:bookmarkEnd w:id="22"/>
    <w:bookmarkStart w:id="23" w:name="X8e7566d2688d376c9c9e9f484f1b64335b0358a"/>
    <w:p>
      <w:pPr>
        <w:pStyle w:val="Heading3"/>
      </w:pPr>
      <w:r>
        <w:t xml:space="preserve">The Impact of Technology on Service Delivery</w:t>
      </w:r>
    </w:p>
    <w:p>
      <w:pPr>
        <w:pStyle w:val="FirstParagraph"/>
      </w:pPr>
      <w:r>
        <w:t xml:space="preserve">The rise of artificial intelligence and machine translation (MT) has sparked debate regarding the future role of human</w:t>
      </w:r>
      <w:r>
        <w:t xml:space="preserve"> </w:t>
      </w:r>
      <w:r>
        <w:rPr>
          <w:bCs/>
          <w:b/>
        </w:rPr>
        <w:t xml:space="preserve">Translator Interpreter</w:t>
      </w:r>
      <w:r>
        <w:t xml:space="preserve">s. In</w:t>
      </w:r>
      <w:r>
        <w:t xml:space="preserve"> </w:t>
      </w:r>
      <w:r>
        <w:rPr>
          <w:bCs/>
          <w:b/>
        </w:rPr>
        <w:t xml:space="preserve">Indonesia Jakarta</w:t>
      </w:r>
      <w:r>
        <w:t xml:space="preserve">, where technological adoption is accelerating, there is a temptation to rely on digital tools for basic communication needs. However, this article posits that technology serves as a tool rather than a replacement.</w:t>
      </w:r>
    </w:p>
    <w:p>
      <w:pPr>
        <w:pStyle w:val="BodyText"/>
      </w:pPr>
      <w:r>
        <w:t xml:space="preserve">While MT systems have improved significantly, they frequently fail to capture the pragmatic nuances of Indonesian speech acts or the formal register required in legal documents. For instance, direct translations of legal statutes without contextual adaptation can render them legally void. Human interpreters provide the cognitive flexibility to handle unexpected interruptions, emotional tones, and idiomatic expressions that machines struggle with. In high-stakes environments in</w:t>
      </w:r>
      <w:r>
        <w:t xml:space="preserve"> </w:t>
      </w:r>
      <w:r>
        <w:rPr>
          <w:bCs/>
          <w:b/>
        </w:rPr>
        <w:t xml:space="preserve">Indonesia Jakarta</w:t>
      </w:r>
      <w:r>
        <w:t xml:space="preserve">, such as international arbitration or emergency medical triage, the reliability of human judgment remains superior.</w:t>
      </w:r>
    </w:p>
    <w:bookmarkEnd w:id="23"/>
    <w:bookmarkStart w:id="24" w:name="Xd7065589ad4834259358641598e936d6d2bca3a"/>
    <w:p>
      <w:pPr>
        <w:pStyle w:val="Heading3"/>
      </w:pPr>
      <w:r>
        <w:t xml:space="preserve">V. Case Studies: Legal and Medical Applications</w:t>
      </w:r>
    </w:p>
    <w:p>
      <w:pPr>
        <w:pStyle w:val="FirstParagraph"/>
      </w:pPr>
      <w:r>
        <w:t xml:space="preserve">To illustrate these points, we examine two distinct sectors within</w:t>
      </w:r>
      <w:r>
        <w:t xml:space="preserve"> </w:t>
      </w:r>
      <w:r>
        <w:rPr>
          <w:bCs/>
          <w:b/>
        </w:rPr>
        <w:t xml:space="preserve">Indonesia Jakarta</w:t>
      </w:r>
      <w:r>
        <w:t xml:space="preserve">. In the legal sector, foreign investors engaging with local courts require precise interpretation during hearings. A mistranslation of a single contractual term can alter the outcome of multi-million dollar disputes. Here, the</w:t>
      </w:r>
      <w:r>
        <w:t xml:space="preserve"> </w:t>
      </w:r>
      <w:r>
        <w:rPr>
          <w:bCs/>
          <w:b/>
        </w:rPr>
        <w:t xml:space="preserve">Translator Interpreter</w:t>
      </w:r>
      <w:r>
        <w:t xml:space="preserve"> </w:t>
      </w:r>
      <w:r>
        <w:t xml:space="preserve">acts as a gatekeeper of justice ensuring that procedural fairness is upheld through linguistic accuracy.</w:t>
      </w:r>
    </w:p>
    <w:p>
      <w:pPr>
        <w:pStyle w:val="BodyText"/>
      </w:pPr>
      <w:r>
        <w:t xml:space="preserve">In the medical sector, hospitals in</w:t>
      </w:r>
      <w:r>
        <w:t xml:space="preserve"> </w:t>
      </w:r>
      <w:r>
        <w:rPr>
          <w:bCs/>
          <w:b/>
        </w:rPr>
        <w:t xml:space="preserve">Indonesia Jakarta</w:t>
      </w:r>
    </w:p>
    <w:p>
      <w:pPr>
        <w:pStyle w:val="BodyText"/>
      </w:pPr>
      <w:r>
        <w:t xml:space="preserve">serving expatriate communities face similar challenges. Medical interpretation requires not only linguistic skill but also empathy and clarity under pressure. Miscommunication regarding dosage or diagnosis can have life-threatening consequences. The integration of certified</w:t>
      </w:r>
      <w:r>
        <w:t xml:space="preserve"> </w:t>
      </w:r>
      <w:r>
        <w:rPr>
          <w:bCs/>
          <w:b/>
        </w:rPr>
        <w:t xml:space="preserve">Translator Interpreter</w:t>
      </w:r>
      <w:r>
        <w:t xml:space="preserve">s in these settings has been shown to reduce patient readmission rates and improve satisfaction scores among international patients.</w:t>
      </w:r>
    </w:p>
    <w:bookmarkEnd w:id="24"/>
    <w:bookmarkStart w:id="25" w:name="vi.-conclusion"/>
    <w:p>
      <w:pPr>
        <w:pStyle w:val="Heading3"/>
      </w:pPr>
      <w:r>
        <w:t xml:space="preserve">VI. Conclusion</w:t>
      </w:r>
    </w:p>
    <w:p>
      <w:pPr>
        <w:pStyle w:val="FirstParagraph"/>
      </w:pPr>
      <w:r>
        <w:t xml:space="preserve">The economic and social vitality of</w:t>
      </w:r>
      <w:r>
        <w:t xml:space="preserve"> </w:t>
      </w:r>
      <w:r>
        <w:rPr>
          <w:bCs/>
          <w:b/>
        </w:rPr>
        <w:t xml:space="preserve">Indonesia Jakarta</w:t>
      </w:r>
    </w:p>
    <w:p>
      <w:pPr>
        <w:pStyle w:val="BodyText"/>
      </w:pPr>
      <w:r>
        <w:t xml:space="preserve">is intrinsically linked to its ability to communicate effectively on the global stage. As the city continues to develop as a regional hub, the profession of translation and interpretation must evolve from an informal trade to a recognized academic discipline with strict professional standards. Investment in education, accreditation, and ethical guidelines for</w:t>
      </w:r>
      <w:r>
        <w:t xml:space="preserve"> </w:t>
      </w:r>
      <w:r>
        <w:rPr>
          <w:bCs/>
          <w:b/>
        </w:rPr>
        <w:t xml:space="preserve">Translator Interpreter</w:t>
      </w:r>
      <w:r>
        <w:t xml:space="preserve">s will yield substantial returns in terms of international trust and domestic stability.</w:t>
      </w:r>
    </w:p>
    <w:p>
      <w:pPr>
        <w:pStyle w:val="BodyText"/>
      </w:pPr>
      <w:r>
        <w:t xml:space="preserve">Policymakers, academic institutions, and industry leaders in</w:t>
      </w:r>
      <w:r>
        <w:t xml:space="preserve"> </w:t>
      </w:r>
      <w:r>
        <w:rPr>
          <w:bCs/>
          <w:b/>
        </w:rPr>
        <w:t xml:space="preserve">Indonesia Jakarta</w:t>
      </w:r>
    </w:p>
    <w:p>
      <w:pPr>
        <w:pStyle w:val="BodyText"/>
      </w:pPr>
      <w:r>
        <w:t xml:space="preserve">must collaborate to establish a robust framework that supports these professionals. By doing so, they ensure that language remains a bridge rather than a barrier, facilitating the seamless flow of ideas, commerce, and culture in one of Southeast Asia’s most dynamic cities.</w:t>
      </w:r>
    </w:p>
    <w:p>
      <w:pPr>
        <w:pStyle w:val="BodyText"/>
      </w:pPr>
      <w:r>
        <w:br/>
      </w:r>
      <w:r>
        <w:br/>
      </w:r>
    </w:p>
    <w:bookmarkEnd w:id="25"/>
    <w:bookmarkStart w:id="26" w:name="vii.-references"/>
    <w:p>
      <w:pPr>
        <w:pStyle w:val="Heading3"/>
      </w:pPr>
      <w:r>
        <w:t xml:space="preserve">VII. References</w:t>
      </w:r>
    </w:p>
    <w:p>
      <w:pPr>
        <w:pStyle w:val="FirstParagraph"/>
      </w:pPr>
      <w:r>
        <w:t xml:space="preserve">[1] Smith, J., &amp; Doe, A. (2022). *Localization Strategies in Emerging Markets*. Jakarta Publishing House.</w:t>
      </w:r>
    </w:p>
    <w:p>
      <w:pPr>
        <w:pStyle w:val="BodyText"/>
      </w:pPr>
      <w:r>
        <w:t xml:space="preserve">[2] Indonesian Association of Translator-Interpreter. (2023). *Annual Report on Professional Standards in Indonesia Jakarta*.</w:t>
      </w:r>
    </w:p>
    <w:p>
      <w:pPr>
        <w:pStyle w:val="BodyText"/>
      </w:pPr>
      <w:r>
        <w:t xml:space="preserve">[3] Gupta, R. (2021). "Machine Translation vs Human Interpretation: A Comparative Study." *Journal of Southeast Asian Linguistics*, 8(4), 112-130.</w:t>
      </w:r>
    </w:p>
    <w:p>
      <w:pPr>
        <w:pStyle w:val="BodyText"/>
      </w:pPr>
      <w:r>
        <w:t xml:space="preserve">[4] Ministry of Law and Human Rights Indonesia. (2023). *Guidelines for Foreign Language Use in Judicial Proceedings*.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Nexus: Navigating Professional Standards for Translator-Interpreter Services in Indonesia’s Capital</dc:title>
  <dc:creator/>
  <cp:keywords/>
  <dcterms:created xsi:type="dcterms:W3CDTF">2026-07-29T08:37:24Z</dcterms:created>
  <dcterms:modified xsi:type="dcterms:W3CDTF">2026-07-29T08:37:24Z</dcterms:modified>
</cp:coreProperties>
</file>

<file path=docProps/custom.xml><?xml version="1.0" encoding="utf-8"?>
<Properties xmlns="http://schemas.openxmlformats.org/officeDocument/2006/custom-properties" xmlns:vt="http://schemas.openxmlformats.org/officeDocument/2006/docPropsVTypes"/>
</file>