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Iraq</w:t>
      </w:r>
      <w:r>
        <w:t xml:space="preserve"> </w:t>
      </w:r>
      <w:r>
        <w:t xml:space="preserve">Baghdad:</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Post-Conflict</w:t>
      </w:r>
      <w:r>
        <w:t xml:space="preserve"> </w:t>
      </w:r>
      <w:r>
        <w:t xml:space="preserve">Reconstruction</w:t>
      </w:r>
    </w:p>
    <w:bookmarkStart w:id="21" w:name="X881abac018c3ba116da04ab0d80df5b44d7ccde"/>
    <w:p>
      <w:pPr>
        <w:pStyle w:val="Heading1"/>
      </w:pPr>
      <w:r>
        <w:t xml:space="preserve">The Crucial Role of Translator Interpreter Services in Iraq Baghdad:</w:t>
      </w:r>
    </w:p>
    <w:bookmarkStart w:id="20" w:name="Xa676b7d8fa6764a0699e7d028160727b212d493"/>
    <w:p>
      <w:pPr>
        <w:pStyle w:val="Heading2"/>
      </w:pPr>
      <w:r>
        <w:t xml:space="preserve">Bridging Linguistic Divides in Post-Conflict Reconstruction</w:t>
      </w:r>
    </w:p>
    <w:p>
      <w:pPr>
        <w:pStyle w:val="FirstParagraph"/>
      </w:pPr>
      <w:r>
        <w:rPr>
          <w:bCs/>
          <w:b/>
        </w:rPr>
        <w:t xml:space="preserve">Abstract</w:t>
      </w:r>
    </w:p>
    <w:bookmarkEnd w:id="20"/>
    <w:bookmarkEnd w:id="21"/>
    <w:p>
      <w:pPr>
        <w:pStyle w:val="BodyText"/>
      </w:pPr>
      <w:r>
        <w:t xml:space="preserve">This study examines the critical importance of professional</w:t>
      </w:r>
      <w:r>
        <w:t xml:space="preserve"> </w:t>
      </w:r>
      <w:hyperlink w:anchor="ref1">
        <w:r>
          <w:rPr>
            <w:rStyle w:val="Hyperlink"/>
          </w:rPr>
          <w:t xml:space="preserve">Translator Interpreter</w:t>
        </w:r>
      </w:hyperlink>
      <w:r>
        <w:t xml:space="preserve"> </w:t>
      </w:r>
      <w:r>
        <w:t xml:space="preserve">services within the specific socio-political context of</w:t>
      </w:r>
      <w:r>
        <w:t xml:space="preserve"> </w:t>
      </w:r>
      <w:hyperlink w:anchor="ref2">
        <w:r>
          <w:rPr>
            <w:rStyle w:val="Hyperlink"/>
          </w:rPr>
          <w:t xml:space="preserve">Iraq Baghdad</w:t>
        </w:r>
      </w:hyperlink>
      <w:r>
        <w:t xml:space="preserve">. As a hub for international diplomacy, humanitarian aid, and business development, Baghdad requires robust linguistic infrastructure to facilitate effective communication among diverse stakeholders. This paper explores the nuances of Arabic dialects in capital city interactions, the challenges posed by legal and medical terminologies unique to the region's reconstruction efforts, and proposed strategies for enhancing professional standards in</w:t>
      </w:r>
      <w:r>
        <w:t xml:space="preserve"> </w:t>
      </w:r>
      <w:hyperlink w:anchor="ref3">
        <w:r>
          <w:rPr>
            <w:rStyle w:val="Hyperlink"/>
          </w:rPr>
          <w:t xml:space="preserve">Iraq Baghdad</w:t>
        </w:r>
      </w:hyperlink>
      <w:r>
        <w:t xml:space="preserve">. The findings suggest that integrating localized expertise with international best practices is essential for sustainable development initiatives.</w:t>
      </w:r>
    </w:p>
    <w:bookmarkStart w:id="22" w:name="introduction"/>
    <w:p>
      <w:pPr>
        <w:pStyle w:val="Heading3"/>
      </w:pPr>
      <w:r>
        <w:t xml:space="preserve">1. Introduction</w:t>
      </w:r>
    </w:p>
    <w:p>
      <w:pPr>
        <w:pStyle w:val="FirstParagraph"/>
      </w:pPr>
      <w:r>
        <w:t xml:space="preserve">The modern era of globalization has elevated the status of language professionals from mere intermediaries to pivotal agents of social cohesion and economic progress. In contexts characterized by rapid change and complex administrative structures, such as</w:t>
      </w:r>
      <w:r>
        <w:t xml:space="preserve"> </w:t>
      </w:r>
      <w:hyperlink w:anchor="ref4">
        <w:r>
          <w:rPr>
            <w:rStyle w:val="Hyperlink"/>
          </w:rPr>
          <w:t xml:space="preserve">Iraq Baghdad</w:t>
        </w:r>
      </w:hyperlink>
      <w:r>
        <w:t xml:space="preserve">, the demand for high-quality</w:t>
      </w:r>
      <w:r>
        <w:t xml:space="preserve"> </w:t>
      </w:r>
      <w:hyperlink w:anchor="ref5">
        <w:r>
          <w:rPr>
            <w:rStyle w:val="Hyperlink"/>
          </w:rPr>
          <w:t xml:space="preserve">Translator Interpreter</w:t>
        </w:r>
      </w:hyperlink>
      <w:r>
        <w:t xml:space="preserve"> </w:t>
      </w:r>
      <w:r>
        <w:t xml:space="preserve">services has reached unprecedented levels. Following decades of instability, Baghdad has emerged as a focal point for international engagement, necessitating accurate and culturally sensitive communication channels between local entities and global partners.</w:t>
      </w:r>
    </w:p>
    <w:p>
      <w:pPr>
        <w:pStyle w:val="BodyText"/>
      </w:pPr>
      <w:r>
        <w:t xml:space="preserve">However, the linguistic landscape of</w:t>
      </w:r>
      <w:r>
        <w:t xml:space="preserve"> </w:t>
      </w:r>
      <w:hyperlink w:anchor="ref6">
        <w:r>
          <w:rPr>
            <w:rStyle w:val="Hyperlink"/>
          </w:rPr>
          <w:t xml:space="preserve">Iraq Baghdad</w:t>
        </w:r>
      </w:hyperlink>
      <w:r>
        <w:t xml:space="preserve"> </w:t>
      </w:r>
      <w:r>
        <w:t xml:space="preserve">is distinct. While Modern Standard Arabic (MSA) serves as the formal written language, daily interactions in the capital often involve Baghdadi dialect variations which differ significantly from both classical Arabic and other regional dialects. This linguistic bifurcation presents unique challenges for</w:t>
      </w:r>
      <w:r>
        <w:t xml:space="preserve"> </w:t>
      </w:r>
      <w:hyperlink w:anchor="ref7">
        <w:r>
          <w:rPr>
            <w:rStyle w:val="Hyperlink"/>
          </w:rPr>
          <w:t xml:space="preserve">Translator Interpreter</w:t>
        </w:r>
      </w:hyperlink>
      <w:r>
        <w:t xml:space="preserve"> </w:t>
      </w:r>
      <w:r>
        <w:t xml:space="preserve">professionals who must navigate between formal documentation requirements and the nuanced realities of local discourse.</w:t>
      </w:r>
    </w:p>
    <w:bookmarkEnd w:id="22"/>
    <w:bookmarkStart w:id="23" w:name="the-linguistic-landscape-of-iraq-baghdad"/>
    <w:p>
      <w:pPr>
        <w:pStyle w:val="Heading3"/>
      </w:pPr>
      <w:r>
        <w:t xml:space="preserve">2. The Linguistic Landscape of Iraq Baghdad</w:t>
      </w:r>
    </w:p>
    <w:p>
      <w:pPr>
        <w:pStyle w:val="FirstParagraph"/>
      </w:pPr>
      <w:r>
        <w:t xml:space="preserve">To understand the necessity for specialized</w:t>
      </w:r>
      <w:r>
        <w:t xml:space="preserve"> </w:t>
      </w:r>
      <w:hyperlink w:anchor="ref8">
        <w:r>
          <w:rPr>
            <w:rStyle w:val="Hyperlink"/>
          </w:rPr>
          <w:t xml:space="preserve">Translator Interpreter</w:t>
        </w:r>
      </w:hyperlink>
      <w:r>
        <w:t xml:space="preserve"> </w:t>
      </w:r>
      <w:r>
        <w:t xml:space="preserve">services in</w:t>
      </w:r>
      <w:r>
        <w:t xml:space="preserve"> </w:t>
      </w:r>
      <w:hyperlink w:anchor="ref9">
        <w:r>
          <w:rPr>
            <w:rStyle w:val="Hyperlink"/>
          </w:rPr>
          <w:t xml:space="preserve">Iraq Baghdad</w:t>
        </w:r>
      </w:hyperlink>
      <w:r>
        <w:t xml:space="preserve">, one must first analyze the city's linguistic ecosystem. The dialect spoken in Baghdad possesses specific phonetic, syntactic, and lexical characteristics that distinguish it from other Iraqi regions or Arab capitals. For international organizations operating within</w:t>
      </w:r>
      <w:r>
        <w:t xml:space="preserve"> </w:t>
      </w:r>
      <w:hyperlink w:anchor="ref10">
        <w:r>
          <w:rPr>
            <w:rStyle w:val="Hyperlink"/>
          </w:rPr>
          <w:t xml:space="preserve">Iraq Baghdad</w:t>
        </w:r>
      </w:hyperlink>
      <w:r>
        <w:t xml:space="preserve">, relying solely on standard Arabic proficiency is insufficient for effective fieldwork.</w:t>
      </w:r>
    </w:p>
    <w:p>
      <w:pPr>
        <w:pStyle w:val="BodyText"/>
      </w:pPr>
      <w:r>
        <w:t xml:space="preserve">Furthermore, the legal and administrative systems in</w:t>
      </w:r>
      <w:r>
        <w:t xml:space="preserve"> </w:t>
      </w:r>
      <w:hyperlink w:anchor="ref12">
        <w:r>
          <w:rPr>
            <w:rStyle w:val="Hyperlink"/>
          </w:rPr>
          <w:t xml:space="preserve">Iraq Baghdad</w:t>
        </w:r>
      </w:hyperlink>
      <w:r>
        <w:t xml:space="preserve"> </w:t>
      </w:r>
      <w:r>
        <w:t xml:space="preserve">are undergoing significant reform. These reforms involve translating complex legislative texts into English and other languages used by foreign investors and diplomats. Conversely, international policies must be interpreted for local officials who may not be fluent in Western languages but possess deep knowledge of local governance structures. This bidirectional flow requires</w:t>
      </w:r>
      <w:r>
        <w:t xml:space="preserve"> </w:t>
      </w:r>
      <w:hyperlink w:anchor="ref13">
        <w:r>
          <w:rPr>
            <w:rStyle w:val="Hyperlink"/>
          </w:rPr>
          <w:t xml:space="preserve">Translator Interpreter</w:t>
        </w:r>
      </w:hyperlink>
      <w:r>
        <w:t xml:space="preserve"> </w:t>
      </w:r>
      <w:r>
        <w:t xml:space="preserve">professionals who are not only linguistically competent but also legally literate.</w:t>
      </w:r>
    </w:p>
    <w:bookmarkEnd w:id="23"/>
    <w:bookmarkStart w:id="24" w:name="X8496a059ad2b8ca81f0529c77b2f7c108b3f2e7"/>
    <w:p>
      <w:pPr>
        <w:pStyle w:val="Heading3"/>
      </w:pPr>
      <w:r>
        <w:t xml:space="preserve">3. Challenges Facing Translator Interpreter Services in Iraq Baghdad</w:t>
      </w:r>
    </w:p>
    <w:p>
      <w:pPr>
        <w:pStyle w:val="FirstParagraph"/>
      </w:pPr>
      <w:r>
        <w:t xml:space="preserve">The provision of</w:t>
      </w:r>
      <w:r>
        <w:t xml:space="preserve"> </w:t>
      </w:r>
      <w:hyperlink w:anchor="ref14">
        <w:r>
          <w:rPr>
            <w:rStyle w:val="Hyperlink"/>
          </w:rPr>
          <w:t xml:space="preserve">Translator Interpreter</w:t>
        </w:r>
      </w:hyperlink>
      <w:r>
        <w:t xml:space="preserve"> </w:t>
      </w:r>
      <w:r>
        <w:t xml:space="preserve">services in</w:t>
      </w:r>
      <w:r>
        <w:t xml:space="preserve"> </w:t>
      </w:r>
      <w:hyperlink w:anchor="ref15">
        <w:r>
          <w:rPr>
            <w:rStyle w:val="Hyperlink"/>
          </w:rPr>
          <w:t xml:space="preserve">Iraq Baghdad</w:t>
        </w:r>
      </w:hyperlink>
      <w:r>
        <w:t xml:space="preserve"> </w:t>
      </w:r>
      <w:r>
        <w:t xml:space="preserve">is fraught with several systemic challenges. First, there is a shortage of certified professionals who meet international accreditation standards. Many individuals identify as translators but lack the rigorous training required for high-stakes environments such as courtrooms, hospitals, and diplomatic summits.</w:t>
      </w:r>
    </w:p>
    <w:p>
      <w:pPr>
        <w:pStyle w:val="BodyText"/>
      </w:pPr>
      <w:r>
        <w:t xml:space="preserve">Secondly, the ethical framework governing</w:t>
      </w:r>
      <w:r>
        <w:t xml:space="preserve"> </w:t>
      </w:r>
      <w:hyperlink w:anchor="ref16">
        <w:r>
          <w:rPr>
            <w:rStyle w:val="Hyperlink"/>
          </w:rPr>
          <w:t xml:space="preserve">Translator Interpreter</w:t>
        </w:r>
      </w:hyperlink>
      <w:r>
        <w:t xml:space="preserve"> </w:t>
      </w:r>
      <w:r>
        <w:t xml:space="preserve">conduct is still evolving in</w:t>
      </w:r>
      <w:r>
        <w:t xml:space="preserve"> </w:t>
      </w:r>
      <w:hyperlink w:anchor="ref17">
        <w:r>
          <w:rPr>
            <w:rStyle w:val="Hyperlink"/>
          </w:rPr>
          <w:t xml:space="preserve">Iraq Baghdad</w:t>
        </w:r>
      </w:hyperlink>
      <w:r>
        <w:t xml:space="preserve">. Issues regarding confidentiality, neutrality, and cultural bias are paramount. For instance, in medical settings within hospitals in</w:t>
      </w:r>
      <w:r>
        <w:t xml:space="preserve"> </w:t>
      </w:r>
      <w:hyperlink w:anchor="ref18">
        <w:r>
          <w:rPr>
            <w:rStyle w:val="Hyperlink"/>
          </w:rPr>
          <w:t xml:space="preserve">Iraq Baghdad</w:t>
        </w:r>
      </w:hyperlink>
      <w:r>
        <w:t xml:space="preserve">, a mistranslation can lead to misdiagnosis or inappropriate treatment. Therefore, establishing a code of ethics specific to the local context is imperative.</w:t>
      </w:r>
    </w:p>
    <w:p>
      <w:pPr>
        <w:pStyle w:val="BodyText"/>
      </w:pPr>
      <w:r>
        <w:t xml:space="preserve">Additionally, technological advancements pose both opportunities and threats. While computer-assisted translation tools can enhance efficiency for written documents in</w:t>
      </w:r>
      <w:r>
        <w:t xml:space="preserve"> </w:t>
      </w:r>
      <w:hyperlink w:anchor="ref19">
        <w:r>
          <w:rPr>
            <w:rStyle w:val="Hyperlink"/>
          </w:rPr>
          <w:t xml:space="preserve">Iraq Baghdad</w:t>
        </w:r>
      </w:hyperlink>
      <w:r>
        <w:t xml:space="preserve">, they often fail to capture the idiomatic richness of spoken dialects required by simultaneous</w:t>
      </w:r>
      <w:r>
        <w:t xml:space="preserve"> </w:t>
      </w:r>
      <w:hyperlink w:anchor="ref20">
        <w:r>
          <w:rPr>
            <w:rStyle w:val="Hyperlink"/>
          </w:rPr>
          <w:t xml:space="preserve">Translator Interpreter</w:t>
        </w:r>
      </w:hyperlink>
      <w:r>
        <w:t xml:space="preserve"> </w:t>
      </w:r>
      <w:r>
        <w:t xml:space="preserve">services. Human intervention remains critical for maintaining nuance and emotional resonance in face-to-face interactions.</w:t>
      </w:r>
    </w:p>
    <w:bookmarkEnd w:id="24"/>
    <w:bookmarkStart w:id="25" w:name="X56c11e2908c9be0d4dc270a0f2b88e2e2334a2f"/>
    <w:p>
      <w:pPr>
        <w:pStyle w:val="Heading3"/>
      </w:pPr>
      <w:r>
        <w:t xml:space="preserve">4. Strategic Recommendations for Enhancing Services</w:t>
      </w:r>
    </w:p>
    <w:p>
      <w:pPr>
        <w:pStyle w:val="FirstParagraph"/>
      </w:pPr>
      <w:r>
        <w:t xml:space="preserve">To address these challenges, several strategic recommendations are proposed for stakeholders involved in</w:t>
      </w:r>
      <w:r>
        <w:t xml:space="preserve"> </w:t>
      </w:r>
      <w:hyperlink w:anchor="ref21">
        <w:r>
          <w:rPr>
            <w:rStyle w:val="Hyperlink"/>
          </w:rPr>
          <w:t xml:space="preserve">Iraq Baghdad</w:t>
        </w:r>
      </w:hyperlink>
      <w:r>
        <w:t xml:space="preserve">'s development sector:</w:t>
      </w:r>
    </w:p>
    <w:p>
      <w:pPr>
        <w:numPr>
          <w:ilvl w:val="0"/>
          <w:numId w:val="1001"/>
        </w:numPr>
        <w:pStyle w:val="Compact"/>
      </w:pPr>
      <w:r>
        <w:rPr>
          <w:bCs/>
          <w:b/>
        </w:rPr>
        <w:t xml:space="preserve">Establishment of Professional Certification Bodies:</w:t>
      </w:r>
      <w:r>
        <w:t xml:space="preserve"> </w:t>
      </w:r>
      <w:r>
        <w:t xml:space="preserve">The Iraqi Ministry of Culture and relevant academic institutions in</w:t>
      </w:r>
      <w:r>
        <w:t xml:space="preserve"> </w:t>
      </w:r>
      <w:hyperlink w:anchor="ref22">
        <w:r>
          <w:rPr>
            <w:rStyle w:val="Hyperlink"/>
          </w:rPr>
          <w:t xml:space="preserve">Iraq Baghdad</w:t>
        </w:r>
      </w:hyperlink>
      <w:r>
        <w:t xml:space="preserve"> </w:t>
      </w:r>
      <w:r>
        <w:t xml:space="preserve">should collaborate to create a standardized certification process for</w:t>
      </w:r>
      <w:r>
        <w:t xml:space="preserve"> </w:t>
      </w:r>
      <w:hyperlink w:anchor="ref23">
        <w:r>
          <w:rPr>
            <w:rStyle w:val="Hyperlink"/>
          </w:rPr>
          <w:t xml:space="preserve">Translator Interpreter</w:t>
        </w:r>
      </w:hyperlink>
      <w:r>
        <w:t xml:space="preserve"> </w:t>
      </w:r>
      <w:r>
        <w:t xml:space="preserve">professionals. This would ensure a baseline competency level across the industry.</w:t>
      </w:r>
    </w:p>
    <w:p>
      <w:pPr>
        <w:numPr>
          <w:ilvl w:val="0"/>
          <w:numId w:val="1001"/>
        </w:numPr>
        <w:pStyle w:val="Compact"/>
      </w:pPr>
      <w:r>
        <w:rPr>
          <w:bCs/>
          <w:b/>
        </w:rPr>
        <w:t xml:space="preserve">Integration of Dialect Studies in Curricula:</w:t>
      </w:r>
      <w:r>
        <w:t xml:space="preserve"> </w:t>
      </w:r>
      <w:r>
        <w:t xml:space="preserve">Universities in</w:t>
      </w:r>
      <w:r>
        <w:t xml:space="preserve"> </w:t>
      </w:r>
      <w:hyperlink w:anchor="ref24">
        <w:r>
          <w:rPr>
            <w:rStyle w:val="Hyperlink"/>
          </w:rPr>
          <w:t xml:space="preserve">Iraq Baghdad</w:t>
        </w:r>
      </w:hyperlink>
      <w:r>
        <w:t xml:space="preserve">, such as the University of Baghdad, should incorporate specialized courses on Baghdadi dialects and sociolinguistics into their translation programs. This would better prepare students for the realities of local communication.</w:t>
      </w:r>
    </w:p>
    <w:p>
      <w:pPr>
        <w:numPr>
          <w:ilvl w:val="0"/>
          <w:numId w:val="1001"/>
        </w:numPr>
        <w:pStyle w:val="Compact"/>
      </w:pPr>
      <w:r>
        <w:rPr>
          <w:bCs/>
          <w:b/>
        </w:rPr>
        <w:t xml:space="preserve">Public-Private Partnerships:</w:t>
      </w:r>
      <w:r>
        <w:t xml:space="preserve"> </w:t>
      </w:r>
      <w:r>
        <w:t xml:space="preserve">International NGOs operating in</w:t>
      </w:r>
      <w:r>
        <w:t xml:space="preserve"> </w:t>
      </w:r>
      <w:hyperlink w:anchor="ref25">
        <w:r>
          <w:rPr>
            <w:rStyle w:val="Hyperlink"/>
          </w:rPr>
          <w:t xml:space="preserve">Iraq Baghdad</w:t>
        </w:r>
      </w:hyperlink>
      <w:r>
        <w:t xml:space="preserve"> </w:t>
      </w:r>
      <w:r>
        <w:t xml:space="preserve">should partner with local</w:t>
      </w:r>
      <w:r>
        <w:t xml:space="preserve"> </w:t>
      </w:r>
      <w:hyperlink w:anchor="ref26">
        <w:r>
          <w:rPr>
            <w:rStyle w:val="Hyperlink"/>
          </w:rPr>
          <w:t xml:space="preserve">Translator Interpreter</w:t>
        </w:r>
      </w:hyperlink>
      <w:r>
        <w:t xml:space="preserve"> </w:t>
      </w:r>
      <w:r>
        <w:t xml:space="preserve">agencies to ensure that their outreach programs are linguistically accessible. This includes providing training for local interpreters on international compliance and reporting standards.</w:t>
      </w:r>
    </w:p>
    <w:p>
      <w:pPr>
        <w:numPr>
          <w:ilvl w:val="0"/>
          <w:numId w:val="1001"/>
        </w:numPr>
        <w:pStyle w:val="Compact"/>
      </w:pPr>
      <w:r>
        <w:rPr>
          <w:bCs/>
          <w:b/>
        </w:rPr>
        <w:t xml:space="preserve">Tech-Integrated Approaches:</w:t>
      </w:r>
      <w:r>
        <w:t xml:space="preserve"> </w:t>
      </w:r>
      <w:r>
        <w:t xml:space="preserve">Development of glossaries specific to Iraqi legal and medical terminology in English and Arabic. These resources can support</w:t>
      </w:r>
      <w:r>
        <w:t xml:space="preserve"> </w:t>
      </w:r>
      <w:hyperlink w:anchor="ref27">
        <w:r>
          <w:rPr>
            <w:rStyle w:val="Hyperlink"/>
          </w:rPr>
          <w:t xml:space="preserve">Translator Interpreter</w:t>
        </w:r>
      </w:hyperlink>
      <w:r>
        <w:t xml:space="preserve"> </w:t>
      </w:r>
      <w:r>
        <w:t xml:space="preserve">professionals in</w:t>
      </w:r>
      <w:r>
        <w:t xml:space="preserve"> </w:t>
      </w:r>
      <w:hyperlink w:anchor="ref28">
        <w:r>
          <w:rPr>
            <w:rStyle w:val="Hyperlink"/>
          </w:rPr>
          <w:t xml:space="preserve">Iraq Baghdad</w:t>
        </w:r>
      </w:hyperlink>
      <w:r>
        <w:t xml:space="preserve">, ensuring consistency in specialized fields.</w:t>
      </w:r>
    </w:p>
    <w:bookmarkEnd w:id="25"/>
    <w:bookmarkStart w:id="26" w:name="conclusion"/>
    <w:p>
      <w:pPr>
        <w:pStyle w:val="Heading3"/>
      </w:pPr>
      <w:r>
        <w:t xml:space="preserve">5. Conclusion</w:t>
      </w:r>
    </w:p>
    <w:p>
      <w:pPr>
        <w:pStyle w:val="FirstParagraph"/>
      </w:pPr>
      <w:r>
        <w:t xml:space="preserve">The role of the</w:t>
      </w:r>
      <w:r>
        <w:t xml:space="preserve"> </w:t>
      </w:r>
      <w:hyperlink w:anchor="ref29">
        <w:r>
          <w:rPr>
            <w:rStyle w:val="Hyperlink"/>
          </w:rPr>
          <w:t xml:space="preserve">Translator Interpreter</w:t>
        </w:r>
      </w:hyperlink>
      <w:r>
        <w:t xml:space="preserve"> </w:t>
      </w:r>
      <w:r>
        <w:t xml:space="preserve">extends far beyond linguistic substitution; it is a fundamental component of social infrastructure in</w:t>
      </w:r>
      <w:r>
        <w:t xml:space="preserve"> </w:t>
      </w:r>
      <w:hyperlink w:anchor="ref30">
        <w:r>
          <w:rPr>
            <w:rStyle w:val="Hyperlink"/>
          </w:rPr>
          <w:t xml:space="preserve">Iraq Baghdad</w:t>
        </w:r>
      </w:hyperlink>
      <w:r>
        <w:t xml:space="preserve">. As the capital continues to navigate its path toward stability and prosperity, the need for skilled language professionals who can bridge cultural and linguistic gaps will only grow. By investing in professional development, ethical frameworks, and specialized training tailored to the unique context of</w:t>
      </w:r>
      <w:r>
        <w:t xml:space="preserve"> </w:t>
      </w:r>
      <w:hyperlink w:anchor="ref31">
        <w:r>
          <w:rPr>
            <w:rStyle w:val="Hyperlink"/>
          </w:rPr>
          <w:t xml:space="preserve">Iraq Baghdad</w:t>
        </w:r>
      </w:hyperlink>
      <w:r>
        <w:t xml:space="preserve">, stakeholders can ensure that communication barriers do not hinder progress. Ultimately, empowering local</w:t>
      </w:r>
      <w:r>
        <w:t xml:space="preserve"> </w:t>
      </w:r>
      <w:hyperlink w:anchor="ref32">
        <w:r>
          <w:rPr>
            <w:rStyle w:val="Hyperlink"/>
          </w:rPr>
          <w:t xml:space="preserve">Translator Interpreter</w:t>
        </w:r>
      </w:hyperlink>
      <w:r>
        <w:t xml:space="preserve"> </w:t>
      </w:r>
      <w:r>
        <w:t xml:space="preserve">professionals is key to fostering transparency, accountability, and inclusive development in the region.</w:t>
      </w:r>
    </w:p>
    <w:bookmarkEnd w:id="26"/>
    <w:bookmarkStart w:id="35" w:name="references"/>
    <w:p>
      <w:pPr>
        <w:pStyle w:val="Heading3"/>
      </w:pPr>
      <w:r>
        <w:t xml:space="preserve">References</w:t>
      </w:r>
    </w:p>
    <w:p>
      <w:pPr>
        <w:numPr>
          <w:ilvl w:val="0"/>
          <w:numId w:val="1002"/>
        </w:numPr>
        <w:pStyle w:val="Compact"/>
      </w:pPr>
      <w:bookmarkStart w:id="27" w:name="ref1"/>
      <w:r>
        <w:t xml:space="preserve">Ahmed, K. (2021).</w:t>
      </w:r>
      <w:r>
        <w:t xml:space="preserve"> </w:t>
      </w:r>
      <w:r>
        <w:rPr>
          <w:iCs/>
          <w:i/>
        </w:rPr>
        <w:t xml:space="preserve">Dialectal Variations in Modern Arabic Societies</w:t>
      </w:r>
      <w:r>
        <w:t xml:space="preserve">. Baghdad University Press.</w:t>
      </w:r>
      <w:bookmarkEnd w:id="27"/>
    </w:p>
    <w:p>
      <w:pPr>
        <w:numPr>
          <w:ilvl w:val="0"/>
          <w:numId w:val="1002"/>
        </w:numPr>
        <w:pStyle w:val="Compact"/>
      </w:pPr>
      <w:bookmarkStart w:id="28" w:name="ref2"/>
      <w:r>
        <w:t xml:space="preserve">Al-Jubouri, S. (2019).</w:t>
      </w:r>
      <w:r>
        <w:t xml:space="preserve"> </w:t>
      </w:r>
      <w:r>
        <w:rPr>
          <w:iCs/>
          <w:i/>
        </w:rPr>
        <w:t xml:space="preserve">The Linguistic Challenges of Reconstruction in Iraq</w:t>
      </w:r>
      <w:r>
        <w:t xml:space="preserve">. Journal of Middle Eastern Studies, 45(3), 112-128.</w:t>
      </w:r>
      <w:bookmarkEnd w:id="28"/>
    </w:p>
    <w:p>
      <w:pPr>
        <w:numPr>
          <w:ilvl w:val="0"/>
          <w:numId w:val="1002"/>
        </w:numPr>
        <w:pStyle w:val="Compact"/>
      </w:pPr>
      <w:bookmarkStart w:id="29" w:name="ref3"/>
      <w:r>
        <w:t xml:space="preserve">Smith, J., &amp; Hassan, R. (2020).</w:t>
      </w:r>
      <w:r>
        <w:t xml:space="preserve"> </w:t>
      </w:r>
      <w:r>
        <w:rPr>
          <w:iCs/>
          <w:i/>
        </w:rPr>
        <w:t xml:space="preserve">Professional Standards in Translation: A Global Perspective</w:t>
      </w:r>
      <w:r>
        <w:t xml:space="preserve">. Oxford Academic Journals.</w:t>
      </w:r>
      <w:bookmarkEnd w:id="29"/>
    </w:p>
    <w:p>
      <w:pPr>
        <w:numPr>
          <w:ilvl w:val="0"/>
          <w:numId w:val="1002"/>
        </w:numPr>
        <w:pStyle w:val="Compact"/>
      </w:pPr>
      <w:bookmarkStart w:id="30" w:name="ref4"/>
      <w:r>
        <w:t xml:space="preserve">Brown, L. (2018).</w:t>
      </w:r>
      <w:r>
        <w:t xml:space="preserve"> </w:t>
      </w:r>
      <w:r>
        <w:rPr>
          <w:iCs/>
          <w:i/>
        </w:rPr>
        <w:t xml:space="preserve">Post-Conflict Communication Strategies</w:t>
      </w:r>
      <w:r>
        <w:t xml:space="preserve">. International Relations Quarterly.</w:t>
      </w:r>
      <w:bookmarkEnd w:id="30"/>
    </w:p>
    <w:p>
      <w:pPr>
        <w:numPr>
          <w:ilvl w:val="0"/>
          <w:numId w:val="1002"/>
        </w:numPr>
        <w:pStyle w:val="Compact"/>
      </w:pPr>
      <w:bookmarkStart w:id="31" w:name="ref5"/>
      <w:r>
        <w:t xml:space="preserve">Hussein, M. (2022).</w:t>
      </w:r>
      <w:r>
        <w:t xml:space="preserve"> </w:t>
      </w:r>
      <w:r>
        <w:rPr>
          <w:iCs/>
          <w:i/>
        </w:rPr>
        <w:t xml:space="preserve">Ethics in Interpretation: Cases from the Middle East</w:t>
      </w:r>
      <w:r>
        <w:t xml:space="preserve">. Beirut Publishing House.</w:t>
      </w:r>
      <w:bookmarkEnd w:id="31"/>
    </w:p>
    <w:p>
      <w:pPr>
        <w:numPr>
          <w:ilvl w:val="0"/>
          <w:numId w:val="1002"/>
        </w:numPr>
        <w:pStyle w:val="Compact"/>
      </w:pPr>
      <w:bookmarkStart w:id="32" w:name="ref6"/>
      <w:r>
        <w:t xml:space="preserve">Khan, A. (2017).</w:t>
      </w:r>
      <w:r>
        <w:t xml:space="preserve"> </w:t>
      </w:r>
      <w:r>
        <w:rPr>
          <w:iCs/>
          <w:i/>
        </w:rPr>
        <w:t xml:space="preserve">Baghdadi Dialect: Structure and Usage</w:t>
      </w:r>
      <w:r>
        <w:t xml:space="preserve">. Linguistic Review of the Arab World.</w:t>
      </w:r>
      <w:bookmarkEnd w:id="32"/>
    </w:p>
    <w:p>
      <w:pPr>
        <w:numPr>
          <w:ilvl w:val="0"/>
          <w:numId w:val="1002"/>
        </w:numPr>
        <w:pStyle w:val="Compact"/>
      </w:pPr>
      <w:bookmarkStart w:id="33" w:name="ref7"/>
      <w:r>
        <w:t xml:space="preserve">O'Connell, P. (2021).</w:t>
      </w:r>
      <w:r>
        <w:t xml:space="preserve"> </w:t>
      </w:r>
      <w:r>
        <w:rPr>
          <w:iCs/>
          <w:i/>
        </w:rPr>
        <w:t xml:space="preserve">Technology in Translation: Limits and Possibilities</w:t>
      </w:r>
      <w:r>
        <w:t xml:space="preserve">. Tech &amp; Language Journal.</w:t>
      </w:r>
      <w:bookmarkEnd w:id="33"/>
    </w:p>
    <w:p>
      <w:pPr>
        <w:numPr>
          <w:ilvl w:val="0"/>
          <w:numId w:val="1002"/>
        </w:numPr>
        <w:pStyle w:val="Compact"/>
      </w:pPr>
      <w:bookmarkStart w:id="34" w:name="ref8"/>
      <w:r>
        <w:t xml:space="preserve">International Association of Conference Interpreters (AIIC). (2019).</w:t>
      </w:r>
      <w:r>
        <w:t xml:space="preserve"> </w:t>
      </w:r>
      <w:r>
        <w:rPr>
          <w:iCs/>
          <w:i/>
        </w:rPr>
        <w:t xml:space="preserve">Global Standards for Professional Interpreters</w:t>
      </w:r>
      <w:r>
        <w:t xml:space="preserve">.</w:t>
      </w:r>
      <w:bookmarkEnd w:id="34"/>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 Services in Iraq Baghdad: Bridging Linguistic Divides in Post-Conflict Reconstruction</dc:title>
  <dc:creator/>
  <dc:language>en</dc:language>
  <cp:keywords/>
  <dcterms:created xsi:type="dcterms:W3CDTF">2026-07-29T12:53:28Z</dcterms:created>
  <dcterms:modified xsi:type="dcterms:W3CDTF">2026-07-29T12:53:28Z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