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Linguistic</w:t>
      </w:r>
      <w:r>
        <w:t xml:space="preserve"> </w:t>
      </w:r>
      <w:r>
        <w:t xml:space="preserve">Nexus: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New</w:t>
      </w:r>
      <w:r>
        <w:t xml:space="preserve"> </w:t>
      </w:r>
      <w:r>
        <w:t xml:space="preserve">Zealand</w:t>
      </w:r>
      <w:r>
        <w:t xml:space="preserve"> </w:t>
      </w:r>
      <w:r>
        <w:t xml:space="preserve">Auckland</w:t>
      </w:r>
    </w:p>
    <w:bookmarkStart w:id="32" w:name="Xbc4a8fcbe74279178e09f13de84453217f49431"/>
    <w:p>
      <w:pPr>
        <w:pStyle w:val="Heading1"/>
      </w:pPr>
      <w:r>
        <w:t xml:space="preserve">The Linguistic Nexus</w:t>
      </w:r>
      <w:r>
        <w:br/>
      </w:r>
      <w:r>
        <w:t xml:space="preserve">An Analysis of the Role and Impact of the Translator Interpreter in New Zealand Auckland</w:t>
      </w:r>
    </w:p>
    <w:p>
      <w:pPr>
        <w:pStyle w:val="FirstParagraph"/>
      </w:pPr>
      <w:r>
        <w:rPr>
          <w:bCs/>
          <w:b/>
        </w:rPr>
        <w:t xml:space="preserve">Abstract</w:t>
      </w:r>
      <w:r>
        <w:br/>
      </w:r>
      <w:r>
        <w:t xml:space="preserve">This article explores the critical function of translator interpreters within the multicultural landscape of Auckland, New Zealand. As a city with one of the highest rates of linguistic diversity globally, Auckland serves as a unique case study for understanding how language professionals facilitate social cohesion, legal justice, and healthcare accessibility. This paper examines the dual roles of translation (written) and interpretation (spoken), analyzing their specific applications in public services, education, and business sectors within the Auckland context. The findings suggest that while demand is high, systemic challenges regarding accreditation and resource allocation persist.</w:t>
      </w:r>
    </w:p>
    <w:bookmarkStart w:id="20" w:name="introduction"/>
    <w:p>
      <w:pPr>
        <w:pStyle w:val="Heading2"/>
      </w:pPr>
      <w:r>
        <w:t xml:space="preserve">1. Introduction</w:t>
      </w:r>
    </w:p>
    <w:p>
      <w:pPr>
        <w:pStyle w:val="FirstParagraph"/>
      </w:pPr>
      <w:r>
        <w:t xml:space="preserve">Auckland, known as "The City of Sails," is not only the economic hub of New Zealand but also a demographic mosaic of unprecedented complexity. With over half of its residents born overseas and more than 200 different languages spoken within its metropolitan area, Auckland stands as a premier example of global linguistic diversity. In this complex environment, the</w:t>
      </w:r>
      <w:r>
        <w:t xml:space="preserve"> </w:t>
      </w:r>
      <w:r>
        <w:rPr>
          <w:bCs/>
          <w:b/>
        </w:rPr>
        <w:t xml:space="preserve">Translator Interpreter</w:t>
      </w:r>
      <w:r>
        <w:t xml:space="preserve"> </w:t>
      </w:r>
      <w:r>
        <w:t xml:space="preserve">plays an indispensable role as the bridge between disparate cultures and institutional systems.</w:t>
      </w:r>
    </w:p>
    <w:p>
      <w:pPr>
        <w:pStyle w:val="BodyText"/>
      </w:pPr>
      <w:r>
        <w:t xml:space="preserve">The term "translator interpreter" often conflates two distinct yet complementary professions: translators, who convert written texts from one language to another, and interpreters, who facilitate oral or sign language communication in real-time. In Auckland, both roles are vital for the effective operation of public services. This article investigates how these professionals operate within the specific socio-political framework of</w:t>
      </w:r>
      <w:r>
        <w:t xml:space="preserve"> </w:t>
      </w:r>
      <w:r>
        <w:rPr>
          <w:bCs/>
          <w:b/>
        </w:rPr>
        <w:t xml:space="preserve">New Zealand Auckland</w:t>
      </w:r>
      <w:r>
        <w:t xml:space="preserve">, considering the Treaty of Waitangi obligations and the multicultural policy landscape.</w:t>
      </w:r>
    </w:p>
    <w:bookmarkEnd w:id="20"/>
    <w:bookmarkStart w:id="21" w:name="the-demographic-context-why-auckland"/>
    <w:p>
      <w:pPr>
        <w:pStyle w:val="Heading2"/>
      </w:pPr>
      <w:r>
        <w:t xml:space="preserve">2. The Demographic Context: Why Auckland?</w:t>
      </w:r>
    </w:p>
    <w:p>
      <w:pPr>
        <w:pStyle w:val="FirstParagraph"/>
      </w:pPr>
      <w:r>
        <w:t xml:space="preserve">To understand the necessity of professional language services, one must first appreciate the demographic reality of</w:t>
      </w:r>
      <w:r>
        <w:t xml:space="preserve"> </w:t>
      </w:r>
      <w:r>
        <w:rPr>
          <w:bCs/>
          <w:b/>
        </w:rPr>
        <w:t xml:space="preserve">New Zealand Auckland</w:t>
      </w:r>
      <w:r>
        <w:t xml:space="preserve">. According to recent census data, a significant portion of Auckland’s population does not speak English as their primary language. Māori and Pasifika communities form integral parts of this linguistic tapestry, alongside growing populations from Asia, Africa, and Europe.</w:t>
      </w:r>
    </w:p>
    <w:p>
      <w:pPr>
        <w:pStyle w:val="BodyText"/>
      </w:pPr>
      <w:r>
        <w:t xml:space="preserve">This diversity presents both an opportunity for cultural richness and a challenge for institutional efficiency. Government agencies, hospitals, schools, and legal bodies must ensure equitable access to services regardless of language proficiency. The</w:t>
      </w:r>
      <w:r>
        <w:t xml:space="preserve"> </w:t>
      </w:r>
      <w:r>
        <w:rPr>
          <w:bCs/>
          <w:b/>
        </w:rPr>
        <w:t xml:space="preserve">Translator Interpreter</w:t>
      </w:r>
      <w:r>
        <w:t xml:space="preserve"> </w:t>
      </w:r>
      <w:r>
        <w:t xml:space="preserve">is the key mechanism that ensures this equity is not merely theoretical but practically achieved.</w:t>
      </w:r>
    </w:p>
    <w:bookmarkEnd w:id="21"/>
    <w:bookmarkStart w:id="25" w:name="X3e6bf5551bd1ec7e7aecd52e0c29cbfc8fadef8"/>
    <w:p>
      <w:pPr>
        <w:pStyle w:val="Heading2"/>
      </w:pPr>
      <w:r>
        <w:t xml:space="preserve">3. Sector-Specific Roles of the Translator Interpreter</w:t>
      </w:r>
    </w:p>
    <w:bookmarkStart w:id="22" w:name="healthcare-and-social-services"/>
    <w:p>
      <w:pPr>
        <w:pStyle w:val="Heading3"/>
      </w:pPr>
      <w:r>
        <w:t xml:space="preserve">3.1 Healthcare and Social Services</w:t>
      </w:r>
    </w:p>
    <w:p>
      <w:pPr>
        <w:pStyle w:val="FirstParagraph"/>
      </w:pPr>
      <w:r>
        <w:t xml:space="preserve">In the healthcare sector, the stakes are particularly high. Miscommunication in medical settings can lead to misdiagnosis, incorrect treatment, and patient harm. In</w:t>
      </w:r>
      <w:r>
        <w:t xml:space="preserve"> </w:t>
      </w:r>
      <w:r>
        <w:rPr>
          <w:bCs/>
          <w:b/>
        </w:rPr>
        <w:t xml:space="preserve">New Zealand Auckland’s</w:t>
      </w:r>
      <w:r>
        <w:t xml:space="preserve"> </w:t>
      </w:r>
      <w:r>
        <w:t xml:space="preserve">public hospitals and community health centers, certified interpreters are essential for conducting patient interviews, obtaining informed consent, and explaining discharge instructions.</w:t>
      </w:r>
    </w:p>
    <w:p>
      <w:pPr>
        <w:pStyle w:val="BodyText"/>
      </w:pPr>
      <w:r>
        <w:t xml:space="preserve">The role extends beyond mere word-for-word conversion. A skilled interpreter in this context must possess medical terminology knowledge and cultural competency to navigate sensitive discussions regarding mental health, domestic violence, or end-of-life care. Without such professionals, the principle of "Te Tiriti" (the Treaty) obligations to provide equitable health outcomes for Māori and other ethnic groups remains unfulfilled.</w:t>
      </w:r>
    </w:p>
    <w:bookmarkEnd w:id="22"/>
    <w:bookmarkStart w:id="23" w:name="legal-and-justice-systems"/>
    <w:p>
      <w:pPr>
        <w:pStyle w:val="Heading3"/>
      </w:pPr>
      <w:r>
        <w:t xml:space="preserve">3.2 Legal and Justice Systems</w:t>
      </w:r>
    </w:p>
    <w:p>
      <w:pPr>
        <w:pStyle w:val="FirstParagraph"/>
      </w:pPr>
      <w:r>
        <w:t xml:space="preserve">The integrity of the legal system relies on clear communication. In</w:t>
      </w:r>
      <w:r>
        <w:t xml:space="preserve"> </w:t>
      </w:r>
      <w:r>
        <w:rPr>
          <w:bCs/>
          <w:b/>
        </w:rPr>
        <w:t xml:space="preserve">New Zealand Auckland’s</w:t>
      </w:r>
      <w:r>
        <w:t xml:space="preserve"> </w:t>
      </w:r>
      <w:r>
        <w:t xml:space="preserve">courts, from District Courts to High Court proceedings, defendants and witnesses who do not speak English fluently require accredited interpreters to ensure a fair trial. The presence of a qualified</w:t>
      </w:r>
      <w:r>
        <w:t xml:space="preserve"> </w:t>
      </w:r>
      <w:r>
        <w:rPr>
          <w:bCs/>
          <w:b/>
        </w:rPr>
        <w:t xml:space="preserve">Translator Interpreter</w:t>
      </w:r>
      <w:r>
        <w:t xml:space="preserve"> </w:t>
      </w:r>
      <w:r>
        <w:t xml:space="preserve">guarantees that legal nuances are preserved and that the accused fully understands the charges against them.</w:t>
      </w:r>
    </w:p>
    <w:p>
      <w:pPr>
        <w:pStyle w:val="BodyText"/>
      </w:pPr>
      <w:r>
        <w:t xml:space="preserve">Furthermore, in family courts dealing with child custody or protection cases, interpretation errors can have lasting impacts on family structures. Therefore, specialized training for interpreters in legal contexts is crucial within Auckland’s justice infrastructure.</w:t>
      </w:r>
    </w:p>
    <w:bookmarkEnd w:id="23"/>
    <w:bookmarkStart w:id="24" w:name="education-and-community-engagement"/>
    <w:p>
      <w:pPr>
        <w:pStyle w:val="Heading3"/>
      </w:pPr>
      <w:r>
        <w:t xml:space="preserve">3.3 Education and Community Engagement</w:t>
      </w:r>
    </w:p>
    <w:p>
      <w:pPr>
        <w:pStyle w:val="FirstParagraph"/>
      </w:pPr>
      <w:r>
        <w:t xml:space="preserve">In educational settings,</w:t>
      </w:r>
      <w:r>
        <w:t xml:space="preserve"> </w:t>
      </w:r>
      <w:r>
        <w:rPr>
          <w:bCs/>
          <w:b/>
        </w:rPr>
        <w:t xml:space="preserve">Translator Interpreters</w:t>
      </w:r>
      <w:r>
        <w:t xml:space="preserve"> </w:t>
      </w:r>
      <w:r>
        <w:t xml:space="preserve">facilitate communication between schools and parents who may not be fluent in English or te reo Māori. This role is pivotal in supporting student achievement and parental involvement. Additionally, community workers use interpreters to deliver public health campaigns, civic education programs, and emergency service information.</w:t>
      </w:r>
    </w:p>
    <w:bookmarkEnd w:id="24"/>
    <w:bookmarkEnd w:id="25"/>
    <w:bookmarkStart w:id="28" w:name="Xb3d46b78b1b158c304d07e93f67031c5c62f084"/>
    <w:p>
      <w:pPr>
        <w:pStyle w:val="Heading2"/>
      </w:pPr>
      <w:r>
        <w:t xml:space="preserve">4. Challenges Facing the Profession in Auckland</w:t>
      </w:r>
    </w:p>
    <w:bookmarkStart w:id="26" w:name="accreditation-and-quality-assurance"/>
    <w:p>
      <w:pPr>
        <w:pStyle w:val="Heading3"/>
      </w:pPr>
      <w:r>
        <w:t xml:space="preserve">4.1 Accreditation and Quality Assurance</w:t>
      </w:r>
    </w:p>
    <w:p>
      <w:pPr>
        <w:pStyle w:val="FirstParagraph"/>
      </w:pPr>
      <w:r>
        <w:t xml:space="preserve">One of the primary challenges in</w:t>
      </w:r>
      <w:r>
        <w:t xml:space="preserve"> </w:t>
      </w:r>
      <w:r>
        <w:rPr>
          <w:bCs/>
          <w:b/>
        </w:rPr>
        <w:t xml:space="preserve">New Zealand Auckland</w:t>
      </w:r>
      <w:r>
        <w:t xml:space="preserve"> </w:t>
      </w:r>
      <w:r>
        <w:t xml:space="preserve">is ensuring that all individuals providing language services meet professional standards. While institutions like Translators and Interpreters New Zealand (TIANZ) provide accreditation, not all public service providers strictly mandate certified professionals due to budget constraints. This leads to the use of ad-hoc interpreters, including family members, which can compromise confidentiality and accuracy.</w:t>
      </w:r>
    </w:p>
    <w:bookmarkEnd w:id="26"/>
    <w:bookmarkStart w:id="27" w:name="X36ba6cb0aa5707128f6524db86821ca774627bf"/>
    <w:p>
      <w:pPr>
        <w:pStyle w:val="Heading3"/>
      </w:pPr>
      <w:r>
        <w:t xml:space="preserve">4.2 Shortage of Specific Language Specialists</w:t>
      </w:r>
    </w:p>
    <w:p>
      <w:pPr>
        <w:pStyle w:val="FirstParagraph"/>
      </w:pPr>
      <w:r>
        <w:t xml:space="preserve">Auckland’s diversity means that while European and major Asian languages are well-covered by available professionals, rarer languages spoken by smaller refugee or migrant communities often lack dedicated interpreters. This creates a gap in service accessibility for vulnerable populations.</w:t>
      </w:r>
    </w:p>
    <w:bookmarkEnd w:id="27"/>
    <w:bookmarkEnd w:id="28"/>
    <w:bookmarkStart w:id="29" w:name="recommendations-for-policy-improvement"/>
    <w:p>
      <w:pPr>
        <w:pStyle w:val="Heading2"/>
      </w:pPr>
      <w:r>
        <w:t xml:space="preserve">5. Recommendations for Policy Improvement</w:t>
      </w:r>
    </w:p>
    <w:p>
      <w:pPr>
        <w:pStyle w:val="FirstParagraph"/>
      </w:pPr>
      <w:r>
        <w:t xml:space="preserve">To strengthen the role of the</w:t>
      </w:r>
      <w:r>
        <w:t xml:space="preserve"> </w:t>
      </w:r>
      <w:r>
        <w:rPr>
          <w:bCs/>
          <w:b/>
        </w:rPr>
        <w:t xml:space="preserve">Translator Interpreter</w:t>
      </w:r>
      <w:r>
        <w:t xml:space="preserve"> </w:t>
      </w:r>
      <w:r>
        <w:t xml:space="preserve">in</w:t>
      </w:r>
      <w:r>
        <w:t xml:space="preserve"> </w:t>
      </w:r>
      <w:r>
        <w:rPr>
          <w:bCs/>
          <w:b/>
        </w:rPr>
        <w:t xml:space="preserve">New Zealand Auckland</w:t>
      </w:r>
      <w:r>
        <w:t xml:space="preserve">, several recommendations are proposed:</w:t>
      </w:r>
    </w:p>
    <w:p>
      <w:pPr>
        <w:numPr>
          <w:ilvl w:val="0"/>
          <w:numId w:val="1001"/>
        </w:numPr>
        <w:pStyle w:val="Compact"/>
      </w:pPr>
      <w:r>
        <w:rPr>
          <w:bCs/>
          <w:b/>
        </w:rPr>
        <w:t xml:space="preserve">Mandatory Accreditation:</w:t>
      </w:r>
      <w:r>
        <w:t xml:space="preserve">All public sector interactions involving non-English speakers should require accredited interpreters.</w:t>
      </w:r>
    </w:p>
    <w:p>
      <w:pPr>
        <w:numPr>
          <w:ilvl w:val="0"/>
          <w:numId w:val="1001"/>
        </w:numPr>
        <w:pStyle w:val="Compact"/>
      </w:pPr>
      <w:r>
        <w:rPr>
          <w:vertAlign w:val="subscript"/>
        </w:rPr>
        <w:t xml:space="preserve">Investment in Training Programs:</w:t>
      </w:r>
    </w:p>
    <w:p>
      <w:pPr>
        <w:numPr>
          <w:ilvl w:val="0"/>
          <w:numId w:val="1000"/>
        </w:numPr>
        <w:pStyle w:val="Compact"/>
      </w:pPr>
      <w:r>
        <w:t xml:space="preserve">Expand university and vocational courses in translation and interpreting, with specific modules on local cultural contexts.</w:t>
      </w:r>
    </w:p>
    <w:p>
      <w:pPr>
        <w:numPr>
          <w:ilvl w:val="0"/>
          <w:numId w:val="1001"/>
        </w:numPr>
        <w:pStyle w:val="Compact"/>
      </w:pPr>
      <w:r>
        <w:rPr>
          <w:bCs/>
          <w:b/>
        </w:rPr>
        <w:t xml:space="preserve">Digital Integration:</w:t>
      </w:r>
      <w:r>
        <w:t xml:space="preserve">Leverage technology for remote interpretation services to cover low-demand languages efficiently while maintaining quality control.</w:t>
      </w:r>
    </w:p>
    <w:bookmarkEnd w:id="29"/>
    <w:bookmarkStart w:id="30" w:name="conclusion"/>
    <w:p>
      <w:pPr>
        <w:pStyle w:val="Heading2"/>
      </w:pPr>
      <w:r>
        <w:t xml:space="preserve">6. Conclusion</w:t>
      </w:r>
    </w:p>
    <w:p>
      <w:pPr>
        <w:pStyle w:val="FirstParagraph"/>
      </w:pPr>
      <w:r>
        <w:t xml:space="preserve">The</w:t>
      </w:r>
      <w:r>
        <w:t xml:space="preserve"> </w:t>
      </w:r>
      <w:r>
        <w:rPr>
          <w:bCs/>
          <w:b/>
        </w:rPr>
        <w:t xml:space="preserve">Translator Interpreter</w:t>
      </w:r>
      <w:r>
        <w:t xml:space="preserve"> </w:t>
      </w:r>
      <w:r>
        <w:t xml:space="preserve">is far more than a linguistic conduit; they are vital agents of social inclusion and institutional integrity in</w:t>
      </w:r>
      <w:r>
        <w:t xml:space="preserve"> </w:t>
      </w:r>
      <w:r>
        <w:rPr>
          <w:bCs/>
          <w:b/>
        </w:rPr>
        <w:t xml:space="preserve">New Zealand Auckland</w:t>
      </w:r>
      <w:r>
        <w:t xml:space="preserve">. As the city continues to grow in diversity, the demand for high-quality language services will only increase. Recognizing and supporting these professionals through better funding, stricter accreditation standards, and professional development opportunities is essential for maintaining a just, healthy, and cohesive society.</w:t>
      </w:r>
    </w:p>
    <w:p>
      <w:pPr>
        <w:pStyle w:val="BodyText"/>
      </w:pPr>
      <w:r>
        <w:t xml:space="preserve">Future research should focus on longitudinal studies of interpreter impact on patient outcomes in Auckland hospitals and student academic performance in multicultural schools. By addressing these gaps, policymakers can ensure that language remains a bridge rather than a barrier.</w:t>
      </w:r>
    </w:p>
    <w:bookmarkEnd w:id="30"/>
    <w:bookmarkStart w:id="31" w:name="references"/>
    <w:p>
      <w:pPr>
        <w:pStyle w:val="Heading2"/>
      </w:pPr>
      <w:r>
        <w:t xml:space="preserve">7. References</w:t>
      </w:r>
    </w:p>
    <w:p>
      <w:pPr>
        <w:numPr>
          <w:ilvl w:val="0"/>
          <w:numId w:val="1002"/>
        </w:numPr>
        <w:pStyle w:val="Compact"/>
      </w:pPr>
      <w:r>
        <w:t xml:space="preserve">Baker, M. (2018).</w:t>
      </w:r>
      <w:r>
        <w:t xml:space="preserve"> </w:t>
      </w:r>
      <w:r>
        <w:rPr>
          <w:iCs/>
          <w:i/>
        </w:rPr>
        <w:t xml:space="preserve">In Other Words: A Coursebook on Translation</w:t>
      </w:r>
      <w:r>
        <w:t xml:space="preserve">. Routledge.</w:t>
      </w:r>
    </w:p>
    <w:p>
      <w:pPr>
        <w:numPr>
          <w:ilvl w:val="0"/>
          <w:numId w:val="1002"/>
        </w:numPr>
        <w:pStyle w:val="Compact"/>
      </w:pPr>
      <w:r>
        <w:t xml:space="preserve">New Zealand Ministry of Health. (2021).</w:t>
      </w:r>
      <w:r>
        <w:t xml:space="preserve"> </w:t>
      </w:r>
      <w:r>
        <w:rPr>
          <w:iCs/>
          <w:i/>
        </w:rPr>
        <w:t xml:space="preserve">Cultural Competency in Healthcare: Guidelines for Providers</w:t>
      </w:r>
      <w:r>
        <w:t xml:space="preserve">. Wellington: Crown.</w:t>
      </w:r>
    </w:p>
    <w:p>
      <w:pPr>
        <w:numPr>
          <w:ilvl w:val="0"/>
          <w:numId w:val="1002"/>
        </w:numPr>
        <w:pStyle w:val="Compact"/>
      </w:pPr>
      <w:r>
        <w:t xml:space="preserve">Translators and Interpreters New Zealand (TIANZ). (2023).</w:t>
      </w:r>
      <w:r>
        <w:t xml:space="preserve"> </w:t>
      </w:r>
      <w:r>
        <w:rPr>
          <w:iCs/>
          <w:i/>
        </w:rPr>
        <w:t xml:space="preserve">Code of Ethics and Professional Practice</w:t>
      </w:r>
      <w:r>
        <w:t xml:space="preserve">. Auckland: TIANZ.</w:t>
      </w:r>
    </w:p>
    <w:p>
      <w:pPr>
        <w:numPr>
          <w:ilvl w:val="0"/>
          <w:numId w:val="1002"/>
        </w:numPr>
        <w:pStyle w:val="Compact"/>
      </w:pPr>
      <w:r>
        <w:t xml:space="preserve">Smyth, R., &amp; Bickford, S. (2019).</w:t>
      </w:r>
      <w:r>
        <w:t xml:space="preserve"> </w:t>
      </w:r>
      <w:r>
        <w:rPr>
          <w:iCs/>
          <w:i/>
        </w:rPr>
        <w:t xml:space="preserve">Multilingualism in Aotearoa/New Zealand</w:t>
      </w:r>
      <w:r>
        <w:t xml:space="preserve">. Routledge.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Linguistic Nexus: The Role of the Translator Interpreter in New Zealand Auckland</dc:title>
  <dc:creator/>
  <dc:language>en</dc:language>
  <cp:keywords/>
  <dcterms:created xsi:type="dcterms:W3CDTF">2026-07-30T02:24:09Z</dcterms:created>
  <dcterms:modified xsi:type="dcterms:W3CDTF">2026-07-30T02:24:09Z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