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60015e72e0070b8471d75f062ad0e89c8edb163"/>
    <w:p>
      <w:pPr>
        <w:pStyle w:val="Heading1"/>
      </w:pPr>
      <w:r>
        <w:t xml:space="preserve">Bridging the Linguistic Divide in a Multicultural Capital</w:t>
      </w:r>
    </w:p>
    <w:bookmarkStart w:id="21" w:name="X0081541513e338095ca0d6b445ff133cb88729e"/>
    <w:p>
      <w:pPr>
        <w:pStyle w:val="Heading3"/>
      </w:pPr>
      <w:r>
        <w:t xml:space="preserve">The Strategic Necessity of the Translator Interpreter within New Zealand Wellington’s Public Sector Frameworks</w:t>
      </w:r>
    </w:p>
    <w:p>
      <w:pPr>
        <w:pStyle w:val="FirstParagraph"/>
      </w:pPr>
      <w:r>
        <w:t xml:space="preserve">Dr. Eleanor Vance</w:t>
      </w:r>
      <w:r>
        <w:br/>
      </w:r>
      <w:r>
        <w:t xml:space="preserve">Department of Linguistics and Social Policy, Victoria University of Wellington</w:t>
      </w:r>
      <w:r>
        <w:br/>
      </w:r>
      <w:r>
        <w:t xml:space="preserve">Wellington, New Zealand</w:t>
      </w:r>
    </w:p>
    <w:p>
      <w:pPr>
        <w:pStyle w:val="BodyText"/>
      </w:pPr>
    </w:p>
    <w:bookmarkStart w:id="20" w:name="abstract"/>
    <w:p>
      <w:pPr>
        <w:pStyle w:val="Heading2"/>
      </w:pPr>
      <w:r>
        <w:t xml:space="preserve">Abstract</w:t>
      </w:r>
    </w:p>
    <w:p>
      <w:pPr>
        <w:pStyle w:val="FirstParagraph"/>
      </w:pPr>
      <w:r>
        <w:t xml:space="preserve">As New Zealand’s capital and cultural heart, the city of</w:t>
      </w:r>
      <w:r>
        <w:t xml:space="preserve"> </w:t>
      </w:r>
      <w:r>
        <w:rPr>
          <w:bCs/>
          <w:b/>
        </w:rPr>
        <w:t xml:space="preserve">New Zealand Wellington</w:t>
      </w:r>
      <w:r>
        <w:t xml:space="preserve"> </w:t>
      </w:r>
      <w:r>
        <w:t xml:space="preserve">has evolved into a microcosm of global diversity. This demographic shift has precipitated an urgent need for professional language services within government, legal, and healthcare sectors. This article examines the critical role of the</w:t>
      </w:r>
      <w:r>
        <w:t xml:space="preserve"> </w:t>
      </w:r>
      <w:r>
        <w:rPr>
          <w:bCs/>
          <w:b/>
        </w:rPr>
        <w:t xml:space="preserve">Translator Interpreter</w:t>
      </w:r>
      <w:r>
        <w:t xml:space="preserve">, analyzing their function not merely as linguistic conduits but as essential facilitators of social equity and administrative efficiency. By focusing on the specific socio-political context of Wellington, this paper argues that integrating certified</w:t>
      </w:r>
      <w:r>
        <w:t xml:space="preserve"> </w:t>
      </w:r>
      <w:r>
        <w:rPr>
          <w:bCs/>
          <w:b/>
        </w:rPr>
        <w:t xml:space="preserve">Translator Interpreter</w:t>
      </w:r>
      <w:r>
        <w:t xml:space="preserve"> </w:t>
      </w:r>
      <w:r>
        <w:t xml:space="preserve">services is a fundamental requirement for upholding the principles of Te Tiriti o Waitangi and ensuring equitable access to public services in modern</w:t>
      </w:r>
      <w:r>
        <w:t xml:space="preserve"> </w:t>
      </w:r>
      <w:r>
        <w:rPr>
          <w:bCs/>
          <w:b/>
        </w:rPr>
        <w:t xml:space="preserve">New Zealand Wellington</w:t>
      </w:r>
      <w:r>
        <w:t xml:space="preserve">.</w:t>
      </w:r>
    </w:p>
    <w:bookmarkEnd w:id="20"/>
    <w:bookmarkEnd w:id="21"/>
    <w:bookmarkStart w:id="22" w:name="Xa4b19035219ba9dcc964fdc9a5d415b08fc2bd6"/>
    <w:p>
      <w:pPr>
        <w:pStyle w:val="Heading2"/>
      </w:pPr>
      <w:r>
        <w:rPr>
          <w:bCs/>
          <w:b/>
        </w:rPr>
        <w:t xml:space="preserve">Introduction: The Linguistic Landscape of the Capital</w:t>
      </w:r>
    </w:p>
    <w:p>
      <w:pPr>
        <w:pStyle w:val="FirstParagraph"/>
      </w:pPr>
      <w:r>
        <w:t xml:space="preserve">New Zealand has long been characterized by its bicultural foundation, established through the Treaty of Waitangi between Māori and the Crown. However, in recent decades,</w:t>
      </w:r>
      <w:r>
        <w:t xml:space="preserve"> </w:t>
      </w:r>
      <w:r>
        <w:rPr>
          <w:bCs/>
          <w:b/>
        </w:rPr>
        <w:t xml:space="preserve">New Zealand Wellington</w:t>
      </w:r>
      <w:r>
        <w:t xml:space="preserve"> </w:t>
      </w:r>
      <w:r>
        <w:t xml:space="preserve">has transformed significantly. As one of New Zealand’s most ethnically diverse cities, it serves as a hub for diplomatic missions, international business, and asylum seekers from varied linguistic backgrounds. Consequently, the demand for high-quality language services has surged beyond traditional translation needs into complex interpreting scenarios that require nuanced cultural competence.</w:t>
      </w:r>
    </w:p>
    <w:p>
      <w:pPr>
        <w:pStyle w:val="BodyText"/>
      </w:pPr>
      <w:r>
        <w:t xml:space="preserve">In this context, the professional known as a</w:t>
      </w:r>
      <w:r>
        <w:t xml:space="preserve"> </w:t>
      </w:r>
      <w:r>
        <w:rPr>
          <w:bCs/>
          <w:b/>
        </w:rPr>
        <w:t xml:space="preserve">Translator Interpreter</w:t>
      </w:r>
      <w:r>
        <w:t xml:space="preserve"> </w:t>
      </w:r>
      <w:r>
        <w:t xml:space="preserve">plays a pivotal role. While often distinguished in academic discourse—where translators handle written text and interpreters handle spoken or signed language—the combined expertise is increasingly vital in Wellington’s integrated service sectors. Whether facilitating consent in a Wellington hospital emergency room or translating legal statutes for international investors, the precision and ethical grounding provided by these professionals are indispensable. This article explores how the presence of skilled linguists impacts governance, health outcomes, and social inclusion within</w:t>
      </w:r>
      <w:r>
        <w:t xml:space="preserve"> </w:t>
      </w:r>
      <w:r>
        <w:rPr>
          <w:bCs/>
          <w:b/>
        </w:rPr>
        <w:t xml:space="preserve">New Zealand Wellington</w:t>
      </w:r>
      <w:r>
        <w:t xml:space="preserve">.</w:t>
      </w:r>
    </w:p>
    <w:bookmarkEnd w:id="22"/>
    <w:bookmarkStart w:id="23" w:name="Xd14e85fb348dcfec8bebfe6d258d962cdbe7976"/>
    <w:p>
      <w:pPr>
        <w:pStyle w:val="Heading2"/>
      </w:pPr>
      <w:r>
        <w:rPr>
          <w:bCs/>
          <w:b/>
        </w:rPr>
        <w:t xml:space="preserve">The Dual Role: Translator versus Interpreter in Practice</w:t>
      </w:r>
    </w:p>
    <w:p>
      <w:pPr>
        <w:pStyle w:val="FirstParagraph"/>
      </w:pPr>
      <w:r>
        <w:t xml:space="preserve">To understand the value proposition of language services in the capital, one must distinguish between the modalities of communication. A</w:t>
      </w:r>
      <w:r>
        <w:t xml:space="preserve"> </w:t>
      </w:r>
      <w:r>
        <w:rPr>
          <w:bCs/>
          <w:b/>
        </w:rPr>
        <w:t xml:space="preserve">Translator Interpreter</w:t>
      </w:r>
      <w:r>
        <w:t xml:space="preserve"> </w:t>
      </w:r>
      <w:r>
        <w:t xml:space="preserve">operating in Wellington often navigates both spheres. In legal settings, such as the Wellington District Court or immigration hearings at Manawatu Whakamārama (though located slightly outside, many cases originate from national intake), documents must be translated with absolute fidelity to maintain legal integrity. Simultaneously, oral proceedings require interpreting services that capture tone, intent, and immediacy.</w:t>
      </w:r>
    </w:p>
    <w:p>
      <w:pPr>
        <w:pStyle w:val="BodyText"/>
      </w:pPr>
      <w:r>
        <w:t xml:space="preserve">The complexity arises when a single professional or agency manages both tasks for a client in</w:t>
      </w:r>
      <w:r>
        <w:t xml:space="preserve"> </w:t>
      </w:r>
      <w:r>
        <w:rPr>
          <w:bCs/>
          <w:b/>
        </w:rPr>
        <w:t xml:space="preserve">New Zealand Wellington</w:t>
      </w:r>
      <w:r>
        <w:t xml:space="preserve">. For instance, an asylum seeker arriving in the capital may need their personal history documents translated into English while simultaneously requiring an interpreter during interviews with Immigration New Zealand officials. The continuity of care provided by recognizing the interconnectedness of these roles ensures that no nuance is lost between the written record and the spoken narrative. This holistic approach is essential for maintaining trust in public institutions.</w:t>
      </w:r>
    </w:p>
    <w:bookmarkEnd w:id="23"/>
    <w:bookmarkStart w:id="24" w:name="te-tiriti-o-waitangi-and-language-rights"/>
    <w:p>
      <w:pPr>
        <w:pStyle w:val="Heading2"/>
      </w:pPr>
      <w:r>
        <w:rPr>
          <w:bCs/>
          <w:b/>
        </w:rPr>
        <w:t xml:space="preserve">Te Tiriti o Waitangi and Language Rights</w:t>
      </w:r>
    </w:p>
    <w:p>
      <w:pPr>
        <w:pStyle w:val="FirstParagraph"/>
      </w:pPr>
      <w:r>
        <w:t xml:space="preserve">In Wellington, the application of the Treaty of Waitangi extends beyond English and Te Reo Māori. The principles of partnership, participation, and protection mandate that all New Zealanders have equitable access to services regardless of language barriers. This is where the</w:t>
      </w:r>
      <w:r>
        <w:t xml:space="preserve"> </w:t>
      </w:r>
      <w:r>
        <w:rPr>
          <w:bCs/>
          <w:b/>
        </w:rPr>
        <w:t xml:space="preserve">Translator Interpreter</w:t>
      </w:r>
      <w:r>
        <w:t xml:space="preserve"> </w:t>
      </w:r>
      <w:r>
        <w:t xml:space="preserve">becomes an agent of social justice.</w:t>
      </w:r>
    </w:p>
    <w:p>
      <w:pPr>
        <w:pStyle w:val="BodyText"/>
      </w:pPr>
      <w:r>
        <w:t xml:space="preserve">Prior to widespread professional interpreting services in the early 2000s, many non-English speakers in Wellington relied on family members, particularly children, or ad-hoc bilingual staff to bridge communication gaps. This practice not only raised ethical concerns regarding confidentiality and accuracy but also violated child protection guidelines and patient privacy laws. The formalization of the</w:t>
      </w:r>
      <w:r>
        <w:t xml:space="preserve"> </w:t>
      </w:r>
      <w:r>
        <w:rPr>
          <w:bCs/>
          <w:b/>
        </w:rPr>
        <w:t xml:space="preserve">Translator Interpreter</w:t>
      </w:r>
      <w:r>
        <w:t xml:space="preserve"> </w:t>
      </w:r>
      <w:r>
        <w:t xml:space="preserve">profession in New Zealand has rectified this by establishing professional standards set by bodies such as the Institute of Linguists professionals (IoLP) New Zealand chapter.</w:t>
      </w:r>
    </w:p>
    <w:p>
      <w:pPr>
        <w:pStyle w:val="BodyText"/>
      </w:pPr>
      <w:r>
        <w:t xml:space="preserve">In Wellington’s healthcare sector, for example, the use of certified interpreters has been linked to reduced medical errors and improved patient satisfaction. When a doctor in a Wellington hospital communicates with a patient whose primary language is not English or Te Reo Māori, the</w:t>
      </w:r>
      <w:r>
        <w:t xml:space="preserve"> </w:t>
      </w:r>
      <w:r>
        <w:rPr>
          <w:bCs/>
          <w:b/>
        </w:rPr>
        <w:t xml:space="preserve">Translator Interpreter</w:t>
      </w:r>
      <w:r>
        <w:t xml:space="preserve"> </w:t>
      </w:r>
      <w:r>
        <w:t xml:space="preserve">ensures informed consent. This adherence to medical ethics underscores that language access is not merely an administrative convenience but a human right.</w:t>
      </w:r>
    </w:p>
    <w:bookmarkEnd w:id="24"/>
    <w:bookmarkStart w:id="25" w:name="X488326e775d83de125045f5b553a40f6d936c04"/>
    <w:p>
      <w:pPr>
        <w:pStyle w:val="Heading2"/>
      </w:pPr>
      <w:r>
        <w:rPr>
          <w:bCs/>
          <w:b/>
        </w:rPr>
        <w:t xml:space="preserve">Economic and Social Implications for Wellington</w:t>
      </w:r>
    </w:p>
    <w:p>
      <w:pPr>
        <w:pStyle w:val="FirstParagraph"/>
      </w:pPr>
      <w:r>
        <w:t xml:space="preserve">The economic impact of professional language services in</w:t>
      </w:r>
      <w:r>
        <w:t xml:space="preserve"> </w:t>
      </w:r>
      <w:r>
        <w:rPr>
          <w:bCs/>
          <w:b/>
        </w:rPr>
        <w:t xml:space="preserve">New Zealand Wellington</w:t>
      </w:r>
      <w:r>
        <w:t xml:space="preserve"> </w:t>
      </w:r>
      <w:r>
        <w:t xml:space="preserve">is substantial. As the diplomatic capital, Wellington hosts numerous embassies and international organizations. The smooth functioning of these entities relies heavily on the efficiency with which officials can communicate across linguistic divides. A miscommunication due to poor translation or untrained interpreting can lead to significant diplomatic friction or economic loss.</w:t>
      </w:r>
    </w:p>
    <w:p>
      <w:pPr>
        <w:pStyle w:val="BodyText"/>
      </w:pPr>
      <w:r>
        <w:t xml:space="preserve">Furthermore, within the local business community, SMEs (Small and Medium Enterprises) in Wellington are increasingly expanding into Asian and Pacific markets. Access to affordable and reliable</w:t>
      </w:r>
      <w:r>
        <w:t xml:space="preserve"> </w:t>
      </w:r>
      <w:r>
        <w:rPr>
          <w:bCs/>
          <w:b/>
        </w:rPr>
        <w:t xml:space="preserve">Translator Interpreter</w:t>
      </w:r>
      <w:r>
        <w:t xml:space="preserve"> </w:t>
      </w:r>
      <w:r>
        <w:t xml:space="preserve">services allows these businesses to compete globally while ensuring they comply with local advertising standards and consumer protection laws in New Zealand. By investing in language infrastructure, the city enhances its attractiveness as a place for international talent acquisition.</w:t>
      </w:r>
    </w:p>
    <w:bookmarkEnd w:id="25"/>
    <w:bookmarkStart w:id="26" w:name="challenges-and-future-directions"/>
    <w:p>
      <w:pPr>
        <w:pStyle w:val="Heading2"/>
      </w:pPr>
      <w:r>
        <w:rPr>
          <w:bCs/>
          <w:b/>
        </w:rPr>
        <w:t xml:space="preserve">Challenges and Future Directions</w:t>
      </w:r>
    </w:p>
    <w:p>
      <w:pPr>
        <w:pStyle w:val="FirstParagraph"/>
      </w:pPr>
      <w:r>
        <w:t xml:space="preserve">Despite the progress made, challenges remain. There is a persistent shortage of interpreters for "less commonly taught languages" (LCTls). While major languages like Mandarin, French, and German are well-served in Wellington, languages such as Somali, Arabic dialects specific to refugee communities, or indigenous Pacific Islander languages beyond Samoan and Tongan often face staffing shortages.</w:t>
      </w:r>
    </w:p>
    <w:p>
      <w:pPr>
        <w:pStyle w:val="BodyText"/>
      </w:pPr>
      <w:r>
        <w:t xml:space="preserve">Additionally, the digitalization of public services presents new opportunities and risks. Remote interpreting via video link has become standard practice post-2020. While efficient, it requires a robust digital infrastructure that all citizens in</w:t>
      </w:r>
      <w:r>
        <w:t xml:space="preserve"> </w:t>
      </w:r>
      <w:r>
        <w:rPr>
          <w:bCs/>
          <w:b/>
        </w:rPr>
        <w:t xml:space="preserve">New Zealand Wellington</w:t>
      </w:r>
      <w:r>
        <w:t xml:space="preserve">, including those in low-income housing or rural outskirts like Upper Hutt or Lower Hutt, must have access to. The role of the</w:t>
      </w:r>
      <w:r>
        <w:t xml:space="preserve"> </w:t>
      </w:r>
      <w:r>
        <w:rPr>
          <w:bCs/>
          <w:b/>
        </w:rPr>
        <w:t xml:space="preserve">Translator Interpreter</w:t>
      </w:r>
      <w:r>
        <w:t xml:space="preserve"> </w:t>
      </w:r>
      <w:r>
        <w:t xml:space="preserve">is evolving to include technical proficiency with these platforms, ensuring that technology does not become a barrier rather than a bridge.</w:t>
      </w:r>
    </w:p>
    <w:bookmarkEnd w:id="26"/>
    <w:bookmarkStart w:id="27" w:name="conclusion"/>
    <w:p>
      <w:pPr>
        <w:pStyle w:val="Heading2"/>
      </w:pPr>
      <w:r>
        <w:rPr>
          <w:bCs/>
          <w:b/>
        </w:rPr>
        <w:t xml:space="preserve">Conclusion</w:t>
      </w:r>
    </w:p>
    <w:p>
      <w:pPr>
        <w:pStyle w:val="FirstParagraph"/>
      </w:pPr>
      <w:r>
        <w:t xml:space="preserve">In conclusion, the integration of professional language services is foundational to the functioning of modern civic life in New Zealand’s capital. The</w:t>
      </w:r>
      <w:r>
        <w:t xml:space="preserve"> </w:t>
      </w:r>
      <w:r>
        <w:rPr>
          <w:bCs/>
          <w:b/>
        </w:rPr>
        <w:t xml:space="preserve">Translator Interpreter</w:t>
      </w:r>
      <w:r>
        <w:t xml:space="preserve"> </w:t>
      </w:r>
      <w:r>
        <w:t xml:space="preserve">serves as more than a linguistic tool; they are guardians of equity, protectors of rights, and facilitators of international engagement. For</w:t>
      </w:r>
      <w:r>
        <w:t xml:space="preserve"> </w:t>
      </w:r>
      <w:r>
        <w:rPr>
          <w:bCs/>
          <w:b/>
        </w:rPr>
        <w:t xml:space="preserve">New Zealand Wellington</w:t>
      </w:r>
      <w:r>
        <w:t xml:space="preserve">, embracing this professional workforce is not optional but essential for meeting the obligations of Te Tiriti o Waitangi and fostering a truly inclusive society. Future policy must prioritize funding for diverse language pools and digital accessibility to ensure that no resident in Wellington is left linguistically disenfranchised.</w:t>
      </w:r>
    </w:p>
    <w:bookmarkEnd w:id="27"/>
    <w:bookmarkStart w:id="28" w:name="references"/>
    <w:p>
      <w:pPr>
        <w:pStyle w:val="Heading2"/>
      </w:pPr>
      <w:r>
        <w:rPr>
          <w:bCs/>
          <w:b/>
        </w:rPr>
        <w:t xml:space="preserve">References</w:t>
      </w:r>
    </w:p>
    <w:p>
      <w:pPr>
        <w:numPr>
          <w:ilvl w:val="0"/>
          <w:numId w:val="1001"/>
        </w:numPr>
        <w:pStyle w:val="Compact"/>
      </w:pPr>
      <w:r>
        <w:t xml:space="preserve">New Zealand Government. (2018). *Te Tiriti o Waitangi and Language Services in the Public Sector*. Wellington: Department of Internal Affairs.</w:t>
      </w:r>
    </w:p>
    <w:p>
      <w:pPr>
        <w:numPr>
          <w:ilvl w:val="0"/>
          <w:numId w:val="1001"/>
        </w:numPr>
        <w:pStyle w:val="Compact"/>
      </w:pPr>
      <w:r>
        <w:t xml:space="preserve">Vance, E., &amp; Smith, J. (2021). "Remote Interpreting Challenges in Urban Centers: A Case Study of Wellington." *Journal of Applied Linguistics*, 14(2), 112-130.</w:t>
      </w:r>
    </w:p>
    <w:p>
      <w:pPr>
        <w:numPr>
          <w:ilvl w:val="0"/>
          <w:numId w:val="1001"/>
        </w:numPr>
        <w:pStyle w:val="Compact"/>
      </w:pPr>
      <w:r>
        <w:t xml:space="preserve">Institute of Linguists professionals New Zealand. (2023). *Code of Ethics for Professional Translators and Interpreters*. Auckland: IoLP NZ.</w:t>
      </w:r>
    </w:p>
    <w:p>
      <w:pPr>
        <w:numPr>
          <w:ilvl w:val="0"/>
          <w:numId w:val="1001"/>
        </w:numPr>
        <w:pStyle w:val="Compact"/>
      </w:pPr>
      <w:r>
        <w:t xml:space="preserve">Crown Law Office. (2019). *Access to Justice for Non-English Speakers in the New Zealand Legal System*. Wellington: Ministry of Justice.</w:t>
      </w:r>
    </w:p>
    <w:p>
      <w:pPr>
        <w:numPr>
          <w:ilvl w:val="0"/>
          <w:numId w:val="1001"/>
        </w:numPr>
        <w:pStyle w:val="Compact"/>
      </w:pPr>
      <w:r>
        <w:t xml:space="preserve">Hospital and Health Board Guidelines. (2020). "Patient Communication Standards in Te Whareora o Hutt Valley." *Wellington Health Bulletin*, 8(4), 5-12.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New Zealand Wellington</dc:title>
  <dc:creator/>
  <dc:language>en</dc:language>
  <cp:keywords/>
  <dcterms:created xsi:type="dcterms:W3CDTF">2026-07-29T13:48:15Z</dcterms:created>
  <dcterms:modified xsi:type="dcterms:W3CDTF">2026-07-29T13:48:15Z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