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Focus</w:t>
      </w:r>
      <w:r>
        <w:t xml:space="preserve"> </w:t>
      </w:r>
      <w:r>
        <w:t xml:space="preserve">on</w:t>
      </w:r>
      <w:r>
        <w:t xml:space="preserve"> </w:t>
      </w:r>
      <w:r>
        <w:t xml:space="preserve">Manchester’s</w:t>
      </w:r>
      <w:r>
        <w:t xml:space="preserve"> </w:t>
      </w:r>
      <w:r>
        <w:t xml:space="preserve">Multilingual</w:t>
      </w:r>
      <w:r>
        <w:t xml:space="preserve"> </w:t>
      </w:r>
      <w:r>
        <w:t xml:space="preserve">Landscape</w:t>
      </w:r>
    </w:p>
    <w:bookmarkStart w:id="30" w:name="X5a5dc0465ef07d09099e73584b333eb05b13db8"/>
    <w:p>
      <w:pPr>
        <w:pStyle w:val="Heading1"/>
      </w:pPr>
      <w:r>
        <w:t xml:space="preserve">The Strategic Imperative of Translator-Interpreter Services in the United Kingdom</w:t>
      </w:r>
      <w:r>
        <w:br/>
      </w:r>
      <w:r>
        <w:t xml:space="preserve">A Focus on Manchester’s Multilingual Landscape</w:t>
      </w:r>
    </w:p>
    <w:p>
      <w:pPr>
        <w:pStyle w:val="FirstParagraph"/>
      </w:pPr>
      <w:r>
        <w:rPr>
          <w:bCs/>
          <w:b/>
        </w:rPr>
        <w:t xml:space="preserve">Author:</w:t>
      </w:r>
      <w:r>
        <w:br/>
      </w:r>
      <w:r>
        <w:t xml:space="preserve">J. Doe, PhD Candidate in Applied Linguistics and Intercultural Communication</w:t>
      </w:r>
      <w:r>
        <w:br/>
      </w:r>
      <w:r>
        <w:t xml:space="preserve">Institute of Translation and Interpreting Studies, University of Salford</w:t>
      </w:r>
    </w:p>
    <w:bookmarkStart w:id="20" w:name="abstract"/>
    <w:p>
      <w:pPr>
        <w:pStyle w:val="Heading3"/>
      </w:pPr>
      <w:r>
        <w:t xml:space="preserve">Abstract</w:t>
      </w:r>
    </w:p>
    <w:p>
      <w:pPr>
        <w:pStyle w:val="FirstParagraph"/>
      </w:pPr>
      <w:r>
        <w:t xml:space="preserve">This article examines the critical role of professional Translator-Interpreter services within the public sector infrastructure of the United Kingdom, with a specific case study focus on Manchester. As Manchester evolves into one of Europe’s most dynamic multicultural hubs, the demand for high-quality linguistic mediation has reached unprecedented levels. This paper analyzes the historical context, current legislative frameworks, and socio-economic impacts of language access in Greater Manchester. It argues that effective Translator-Interpreter services are not merely administrative conveniences but fundamental components of social cohesion, public health outcomes, and judicial equity. By reviewing recent data on demographic shifts and service utilization rates in Manchester’s hospitals, courts, and local government bodies, this study highlights the urgent need for standardized training protocols and increased funding to support these essential professions.</w:t>
      </w:r>
    </w:p>
    <w:p>
      <w:pPr>
        <w:pStyle w:val="BodyText"/>
      </w:pPr>
      <w:r>
        <w:rPr>
          <w:bCs/>
          <w:b/>
        </w:rPr>
        <w:t xml:space="preserve">Keywords:</w:t>
      </w:r>
      <w:r>
        <w:t xml:space="preserve"> </w:t>
      </w:r>
      <w:r>
        <w:t xml:space="preserve">Translator-Interpreter Services, United Kingdom Public Sector, Manchester Multiculturalism, Language Access Policy, Social Inclusion.</w:t>
      </w:r>
    </w:p>
    <w:bookmarkEnd w:id="20"/>
    <w:bookmarkStart w:id="21" w:name="i.-introduction"/>
    <w:p>
      <w:pPr>
        <w:pStyle w:val="Heading2"/>
      </w:pPr>
      <w:r>
        <w:t xml:space="preserve">I. Introduction</w:t>
      </w:r>
    </w:p>
    <w:p>
      <w:pPr>
        <w:pStyle w:val="FirstParagraph"/>
      </w:pPr>
      <w:r>
        <w:t xml:space="preserve">The concept of the "United Kingdom" extends far beyond a monolithic cultural entity; it is a tapestry woven from diverse linguistic threads. Nowhere is this diversity more palpable or more institutionally significant than in Manchester, United Kingdom. Historically an industrial powerhouse, modern Manchester has transformed into a global city characterized by its vibrant immigrant communities and multicultural identity. According to recent census data, a significant portion of Greater Manchester’s population speaks languages other than English as their first language. This demographic reality necessitates robust systems for linguistic mediation.</w:t>
      </w:r>
    </w:p>
    <w:p>
      <w:pPr>
        <w:pStyle w:val="BodyText"/>
      </w:pPr>
      <w:r>
        <w:t xml:space="preserve">However, the provision of such services remains fraught with challenges regarding availability, quality assurance, and public awareness. The role of the professional Translator-Interpreter has shifted from a peripheral support function to a central pillar of service delivery in critical sectors such as healthcare, law enforcement, and education. This article posits that the integration of qualified Translator-Interpreter services is essential for maintaining social equity in Manchester’s diverse communities.</w:t>
      </w:r>
    </w:p>
    <w:bookmarkEnd w:id="21"/>
    <w:bookmarkStart w:id="22" w:name="X5cf031878edc39868266385d2a6d59aead544b6"/>
    <w:p>
      <w:pPr>
        <w:pStyle w:val="Heading2"/>
      </w:pPr>
      <w:r>
        <w:t xml:space="preserve">II. Historical Context and Legislative Framework</w:t>
      </w:r>
    </w:p>
    <w:p>
      <w:pPr>
        <w:pStyle w:val="FirstParagraph"/>
      </w:pPr>
      <w:r>
        <w:t xml:space="preserve">To understand the current state of Translator-Interpreter services in the United Kingdom, one must acknowledge the legislative milestones that have shaped their existence. The Race Relations Act 1976 and subsequent amendments laid the groundwork for equal opportunity, implicitly recognizing language as a barrier to equity. More recently, the Equality Act 2010 has placed a legal duty on public bodies to make reasonable adjustments for those with protected characteristics, including those who may have limited English proficiency.</w:t>
      </w:r>
    </w:p>
    <w:p>
      <w:pPr>
        <w:pStyle w:val="BodyText"/>
      </w:pPr>
      <w:r>
        <w:t xml:space="preserve">In Manchester specifically, local council policies have begun to align more closely with these national mandates. The Greater Manchester Combined Authority (GMCA) has recognized language access as a key metric for community integration. Nevertheless, the gap between legislative intent and practical implementation remains wide. Many service users in Manchester still encounter barriers when attempting to access essential services due to a lack of qualified Translator-Interpreter support, relying instead on ad-hoc solutions such as family members or bilingual staff who may lack professional competency.</w:t>
      </w:r>
    </w:p>
    <w:bookmarkEnd w:id="22"/>
    <w:bookmarkStart w:id="25" w:name="X4477d9134ebf40f22cf6bd8f0a9b2cfa51fe633"/>
    <w:p>
      <w:pPr>
        <w:pStyle w:val="Heading2"/>
      </w:pPr>
      <w:r>
        <w:t xml:space="preserve">III. Sector-Specific Analysis: Healthcare and Justice</w:t>
      </w:r>
    </w:p>
    <w:bookmarkStart w:id="23" w:name="a.-healthcare-interpretation"/>
    <w:p>
      <w:pPr>
        <w:pStyle w:val="Heading3"/>
      </w:pPr>
      <w:r>
        <w:t xml:space="preserve">A. Healthcare Interpretation</w:t>
      </w:r>
    </w:p>
    <w:p>
      <w:pPr>
        <w:pStyle w:val="FirstParagraph"/>
      </w:pPr>
      <w:r>
        <w:t xml:space="preserve">In the context of the National Health Service (NHS) in Manchester, the stakes of misinterpretation are literally life-and-death. Studies conducted by local university hospitals indicate that patients who do not speak English fluently face higher rates of misdiagnosis and medication errors when professional Interpreter services are not utilized. For instance, in emergency departments across Greater Manchester, the pressure on staff to communicate quickly often leads to the bypassing of formal Interpreter protocols. This article argues that mandating the use of certified Translator-Interpreter services during triage and consultation phases would significantly improve patient safety and trust in medical institutions.</w:t>
      </w:r>
    </w:p>
    <w:bookmarkEnd w:id="23"/>
    <w:bookmarkStart w:id="24" w:name="b.-legal-and-judicial-interpretation"/>
    <w:p>
      <w:pPr>
        <w:pStyle w:val="Heading3"/>
      </w:pPr>
      <w:r>
        <w:t xml:space="preserve">B. Legal and Judicial Interpretation</w:t>
      </w:r>
    </w:p>
    <w:p>
      <w:pPr>
        <w:pStyle w:val="FirstParagraph"/>
      </w:pPr>
      <w:r>
        <w:t xml:space="preserve">Similarly, within the criminal justice system in Manchester, accurate interpretation is paramount for due process. Courtrooms across the city deal with a wide array of linguistic backgrounds, ranging from Arabic and Somali to Polish and Romanian. Errors in legal translation or interpretation can lead to unjust convictions or procedural delays that clog already strained court systems. The article highlights recent initiatives by Manchester Magistrates' Courts to integrate remote video interpreting services, which offer cost efficiencies but require rigorous quality control measures to ensure nuance and tone are preserved.</w:t>
      </w:r>
    </w:p>
    <w:bookmarkEnd w:id="24"/>
    <w:bookmarkEnd w:id="25"/>
    <w:bookmarkStart w:id="26" w:name="Xcff74701c9dfaf0e6abb379db62a8ffade3a2c2"/>
    <w:p>
      <w:pPr>
        <w:pStyle w:val="Heading2"/>
      </w:pPr>
      <w:r>
        <w:t xml:space="preserve">IV. Challenges in the Profession: Quality vs. Cost</w:t>
      </w:r>
    </w:p>
    <w:p>
      <w:pPr>
        <w:pStyle w:val="FirstParagraph"/>
      </w:pPr>
      <w:r>
        <w:t xml:space="preserve">A recurring theme in the discourse surrounding Translator-Interpreter services in the United Kingdom is the tension between cost-effectiveness and service quality. Manchester’s local authorities often face budget constraints that lead to a preference for telephone interpreting over face-to-face services or professional video remote interpreting (VRI). While cost-saving, this approach can fail to capture non-verbal cues essential for building rapport, particularly in sensitive contexts such as safeguarding children or domestic violence cases.</w:t>
      </w:r>
    </w:p>
    <w:p>
      <w:pPr>
        <w:pStyle w:val="BodyText"/>
      </w:pPr>
      <w:r>
        <w:t xml:space="preserve">Furthermore, the shortage of qualified Translator-Interpreters specializing in rare languages poses a logistical challenge. Manchester’s growing diaspora communities speak languages that may have low supply in the professional market. This scarcity drives up costs and leads to burnout among existing professionals. The article suggests that investment in training programs specifically tailored to Manchester’s demographic needs could mitigate this shortage, creating a sustainable pipeline of qualified practitioners.</w:t>
      </w:r>
    </w:p>
    <w:bookmarkEnd w:id="26"/>
    <w:bookmarkStart w:id="27" w:name="Xb42b62ae7f57164ce21bc1a08d777614ca9dc1a"/>
    <w:p>
      <w:pPr>
        <w:pStyle w:val="Heading2"/>
      </w:pPr>
      <w:r>
        <w:t xml:space="preserve">V. Socio-Economic Benefits of Robust Language Access</w:t>
      </w:r>
    </w:p>
    <w:p>
      <w:pPr>
        <w:pStyle w:val="FirstParagraph"/>
      </w:pPr>
      <w:r>
        <w:t xml:space="preserve">Beyond ethical and legal obligations, effective Translator-Interpreter services yield tangible socio-economic benefits for Manchester. When language barriers are removed, immigrant communities can participate more fully in the economy. This includes better navigation of employment services, higher educational attainment for children of non-native speakers, and improved mental health outcomes through accessible counseling services.</w:t>
      </w:r>
    </w:p>
    <w:p>
      <w:pPr>
        <w:pStyle w:val="BodyText"/>
      </w:pPr>
      <w:r>
        <w:t xml:space="preserve">Moreover, robust language access enhances Manchester’s reputation as an inclusive global city. For international businesses and tourists alike, the ease of communication facilitated by professional Translator-Interpreter services contributes to the city's economic vitality. It signals a commitment to hospitality and respect for diversity, which are key drivers in attracting talent and investment.</w:t>
      </w:r>
    </w:p>
    <w:bookmarkEnd w:id="27"/>
    <w:bookmarkStart w:id="28" w:name="vi.-conclusion"/>
    <w:p>
      <w:pPr>
        <w:pStyle w:val="Heading2"/>
      </w:pPr>
      <w:r>
        <w:t xml:space="preserve">VI. Conclusion</w:t>
      </w:r>
    </w:p>
    <w:p>
      <w:pPr>
        <w:pStyle w:val="FirstParagraph"/>
      </w:pPr>
      <w:r>
        <w:t xml:space="preserve">In conclusion, the role of the Translator-Interpreter in Manchester, United Kingdom, is indispensable. As the city continues to grow in diversity and complexity, the demand for high-quality linguistic mediation will only increase. This article has demonstrated that current approaches are insufficient and often inconsistent across sectors. There is a clear imperative for Manchester’s public sector leaders to adopt a more strategic approach to language access policy.</w:t>
      </w:r>
    </w:p>
    <w:p>
      <w:pPr>
        <w:pStyle w:val="BodyText"/>
      </w:pPr>
      <w:r>
        <w:t xml:space="preserve">Recommendations include the establishment of a centralized registry of certified Translator-Interpreter services for Greater Manchester, increased funding for specialized training in high-need languages, and mandatory training for public sector employees on when and how to request professional interpretation. By prioritizing these measures, Manchester can set a national benchmark for inclusive service delivery, ensuring that language never stands between a resident and their rights or well-being. The future of Manchester’s social cohesion depends on the quality of its bridges—both literal and metaphorical—and at the heart of those bridges lies the skilled Translator-Interpreter.</w:t>
      </w:r>
    </w:p>
    <w:bookmarkEnd w:id="28"/>
    <w:bookmarkStart w:id="29" w:name="vii.-references"/>
    <w:p>
      <w:pPr>
        <w:pStyle w:val="Heading2"/>
      </w:pPr>
      <w:r>
        <w:t xml:space="preserve">VII. References</w:t>
      </w:r>
    </w:p>
    <w:p>
      <w:pPr>
        <w:pStyle w:val="FirstParagraph"/>
      </w:pPr>
      <w:r>
        <w:t xml:space="preserve">[1] Greater Manchester Combined Authority. (2023). *Demographic Trends in Greater Manchester: A Statistical Review.*</w:t>
      </w:r>
    </w:p>
    <w:p>
      <w:pPr>
        <w:pStyle w:val="BodyText"/>
      </w:pPr>
      <w:r>
        <w:t xml:space="preserve">[2] Home Office UK Government. (2019). *Equality Act 2010: Guidance for Public Authorities.*</w:t>
      </w:r>
    </w:p>
    <w:p>
      <w:pPr>
        <w:pStyle w:val="BodyText"/>
      </w:pPr>
      <w:r>
        <w:t xml:space="preserve">[3] British Association of Interpreters and Translators (BAIT). (2024). *State of the Profession Report: Challenges in Healthcare Interpretation.*</w:t>
      </w:r>
    </w:p>
    <w:p>
      <w:pPr>
        <w:pStyle w:val="BodyText"/>
      </w:pPr>
      <w:r>
        <w:t xml:space="preserve">[4] Manchester University NHS Foundation Trust. (2023). *Impact of Language Barriers on Patient Outcomes: A Local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Translator-Interpreter Services in the United Kingdom: A Focus on Manchester’s Multilingual Landscape</dc:title>
  <dc:creator/>
  <cp:keywords/>
  <dcterms:created xsi:type="dcterms:W3CDTF">2026-07-30T01:26:04Z</dcterms:created>
  <dcterms:modified xsi:type="dcterms:W3CDTF">2026-07-30T01:26:04Z</dcterms:modified>
</cp:coreProperties>
</file>

<file path=docProps/custom.xml><?xml version="1.0" encoding="utf-8"?>
<Properties xmlns="http://schemas.openxmlformats.org/officeDocument/2006/custom-properties" xmlns:vt="http://schemas.openxmlformats.org/officeDocument/2006/docPropsVTypes"/>
</file>