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Institutional</w:t>
      </w:r>
      <w:r>
        <w:t xml:space="preserve"> </w:t>
      </w:r>
      <w:r>
        <w:t xml:space="preserve">Accountability,</w:t>
      </w:r>
      <w:r>
        <w:t xml:space="preserve"> </w:t>
      </w:r>
      <w:r>
        <w:t xml:space="preserve">Pedagogical</w:t>
      </w:r>
      <w:r>
        <w:t xml:space="preserve"> </w:t>
      </w:r>
      <w:r>
        <w:t xml:space="preserve">Innovation,</w:t>
      </w:r>
      <w:r>
        <w:t xml:space="preserve"> </w:t>
      </w:r>
      <w:r>
        <w:t xml:space="preserve">and</w:t>
      </w:r>
      <w:r>
        <w:t xml:space="preserve"> </w:t>
      </w:r>
      <w:r>
        <w:t xml:space="preserve">Professional</w:t>
      </w:r>
      <w:r>
        <w:t xml:space="preserve"> </w:t>
      </w:r>
      <w:r>
        <w:t xml:space="preserve">Identity</w:t>
      </w:r>
    </w:p>
    <w:bookmarkStart w:id="33" w:name="X185a22cb4325a324c870d9e328907404d20b9e0"/>
    <w:p>
      <w:pPr>
        <w:pStyle w:val="Heading1"/>
      </w:pPr>
      <w:r>
        <w:t xml:space="preserve">The Evolving Paradigm of the University Lecturer in Australia: Institutional Accountability, Pedagogical Innovation, and Professional Identity</w:t>
      </w:r>
    </w:p>
    <w:p>
      <w:pPr>
        <w:pStyle w:val="FirstParagraph"/>
      </w:pPr>
      <w:r>
        <w:rPr>
          <w:bCs/>
          <w:b/>
        </w:rPr>
        <w:t xml:space="preserve">Author:</w:t>
      </w:r>
      <w:r>
        <w:br/>
      </w:r>
      <w:r>
        <w:t xml:space="preserve">J. A. Scholar</w:t>
      </w:r>
      <w:r>
        <w:br/>
      </w:r>
      <w:r>
        <w:t xml:space="preserve">School of Education and Professional Studies</w:t>
      </w:r>
      <w:r>
        <w:br/>
      </w:r>
      <w:r>
        <w:t xml:space="preserve">RMIT University</w:t>
      </w:r>
    </w:p>
    <w:bookmarkStart w:id="20" w:name="abstract"/>
    <w:p>
      <w:pPr>
        <w:pStyle w:val="Heading2"/>
      </w:pPr>
      <w:r>
        <w:t xml:space="preserve">Abstract</w:t>
      </w:r>
    </w:p>
    <w:p>
      <w:pPr>
        <w:pStyle w:val="FirstParagraph"/>
      </w:pPr>
      <w:r>
        <w:t xml:space="preserve">This article examines the multifaceted role of the University Lecturer within the contemporary higher education landscape of Australia Melbourne. As a global hub for international education and academic research, Melbourne universities face unique pressures to balance rigorous scholarly output with teaching excellence and administrative compliance. This paper explores how the traditional conception of academic autonomy is being reshaped by New Public Management principles, digital transformation, and increasing student diversity. Through an analysis of policy documents and qualitative data from three major metropolitan institutions in Victoria, this study argues that the University Lecturer in Australia Melbourne must now navigate a complex triad of roles: scholar, educator, and manager. The findings suggest that while institutional support structures are evolving to meet these demands, significant challenges remain regarding workload sustainability and professional well-being.</w:t>
      </w:r>
    </w:p>
    <w:p>
      <w:pPr>
        <w:pStyle w:val="BodyText"/>
      </w:pPr>
      <w:r>
        <w:rPr>
          <w:bCs/>
          <w:b/>
        </w:rPr>
        <w:t xml:space="preserve">Keywords:</w:t>
      </w:r>
      <w:r>
        <w:t xml:space="preserve"> </w:t>
      </w:r>
      <w:r>
        <w:t xml:space="preserve">University Lecturer; Higher Education; Australia Melbourne; Academic Workload; Pedagogical Innovation;</w:t>
      </w:r>
    </w:p>
    <w:bookmarkEnd w:id="20"/>
    <w:bookmarkStart w:id="21" w:name="introduction"/>
    <w:p>
      <w:pPr>
        <w:pStyle w:val="Heading2"/>
      </w:pPr>
      <w:r>
        <w:t xml:space="preserve">1. Introduction</w:t>
      </w:r>
    </w:p>
    <w:p>
      <w:pPr>
        <w:pStyle w:val="FirstParagraph"/>
      </w:pPr>
      <w:r>
        <w:t xml:space="preserve">The tertiary education sector in Australia has undergone profound structural and cultural shifts over the past two decades. Nowhere is this more evident than in Melbourne, a city that boasts some of the country’s most prestigious universities and serves as a critical node for both domestic and international student enrollment. Within this context, the role of the University Lecturer has expanded significantly beyond its traditional boundaries. Historically viewed primarily through the lens of research productivity and subject-matter expertise, the modern academic in Australia Melbourne is increasingly expected to demonstrate competency across a broader spectrum of responsibilities.</w:t>
      </w:r>
    </w:p>
    <w:p>
      <w:pPr>
        <w:pStyle w:val="BodyText"/>
      </w:pPr>
      <w:r>
        <w:t xml:space="preserve">This article posits that understanding the current state of academia requires an interrogation of how institutional mandates from bodies such as TEQSA (Tertiary Education Quality and Standards Agency) and government funding models influence daily practice. Furthermore, it investigates the specific socio-economic and cultural dynamics present in Melbourne, including its multicultural student body and its position as a technology innovation precinct. By focusing on the University Lecturer operating within this specific geographic and institutional environment, we can better understand the tensions between academic freedom, commercial imperatives, and educational quality.</w:t>
      </w:r>
    </w:p>
    <w:bookmarkEnd w:id="21"/>
    <w:bookmarkStart w:id="24" w:name="Xd4b4ea83afae659aa49645ffca24ecd9caffa5d"/>
    <w:p>
      <w:pPr>
        <w:pStyle w:val="Heading2"/>
      </w:pPr>
      <w:r>
        <w:t xml:space="preserve">2. The Impact of New Public Management on Academic Roles</w:t>
      </w:r>
    </w:p>
    <w:p>
      <w:pPr>
        <w:pStyle w:val="FirstParagraph"/>
      </w:pPr>
      <w:r>
        <w:t xml:space="preserve">The adoption of New Public Management (NPM) principles has fundamentally altered the governance structures of universities across Australia Melbourne. NPM emphasizes efficiency, accountability, and market-oriented metrics. For the University Lecturer, this translates into a heightened requirement for evidence-based teaching practices and quantifiable research outputs.</w:t>
      </w:r>
    </w:p>
    <w:bookmarkStart w:id="22" w:name="research-excellence-frameworks"/>
    <w:p>
      <w:pPr>
        <w:pStyle w:val="Heading3"/>
      </w:pPr>
      <w:r>
        <w:t xml:space="preserve">2.1 Research Excellence Frameworks</w:t>
      </w:r>
    </w:p>
    <w:p>
      <w:pPr>
        <w:pStyle w:val="FirstParagraph"/>
      </w:pPr>
      <w:r>
        <w:t xml:space="preserve">Institutions in Australia Melbourne are heavily incentivized to perform well in the Excellence in Research for Australia (ERA) assessments. Consequently, the University Lecturer is often pressured to prioritize high-impact journal publications over teaching innovation or community engagement. This "publish or perish" mentality can create a disjointed professional identity, where the lecturer feels torn between being a pure researcher and an engaged educator.</w:t>
      </w:r>
    </w:p>
    <w:bookmarkEnd w:id="22"/>
    <w:bookmarkStart w:id="23" w:name="teaching-accountability"/>
    <w:p>
      <w:pPr>
        <w:pStyle w:val="Heading3"/>
      </w:pPr>
      <w:r>
        <w:t xml:space="preserve">2.2 Teaching Accountability</w:t>
      </w:r>
    </w:p>
    <w:p>
      <w:pPr>
        <w:pStyle w:val="FirstParagraph"/>
      </w:pPr>
      <w:r>
        <w:t xml:space="preserve">Simultaneously, the Teaching Quality Framework (TQF) and Student Experience Surveys (SES) demand rigorous documentation of learning outcomes. In Melbourne, where universities compete intensely for domestic Commonwealth Supported Places and international fee-paying students, teaching quality is a direct financial driver. University Lecturers are thus required to adopt data-driven pedagogical strategies, often utilizing learning management systems like Canvas or Moodle to track student engagement metrics.</w:t>
      </w:r>
    </w:p>
    <w:bookmarkEnd w:id="23"/>
    <w:bookmarkEnd w:id="24"/>
    <w:bookmarkStart w:id="27" w:name="X9074a15ae4fb40ed2ed81fb1c202338c96383a7"/>
    <w:p>
      <w:pPr>
        <w:pStyle w:val="Heading2"/>
      </w:pPr>
      <w:r>
        <w:t xml:space="preserve">3. Pedagogical Innovation and Digital Transformation</w:t>
      </w:r>
    </w:p>
    <w:p>
      <w:pPr>
        <w:pStyle w:val="FirstParagraph"/>
      </w:pPr>
      <w:r>
        <w:t xml:space="preserve">The rapid digitization of higher education, accelerated by the global pandemic, has forced a reevaluation of instructional methods. In Australia Melbourne, leading institutions have invested heavily in hybrid learning environments. The University Lecturer is no longer just a presenter of information but a facilitator of digital learning ecosystems.</w:t>
      </w:r>
    </w:p>
    <w:bookmarkStart w:id="25" w:name="blended-learning-models"/>
    <w:p>
      <w:pPr>
        <w:pStyle w:val="Heading3"/>
      </w:pPr>
      <w:r>
        <w:t xml:space="preserve">3.1 Blended Learning Models</w:t>
      </w:r>
    </w:p>
    <w:p>
      <w:pPr>
        <w:pStyle w:val="FirstParagraph"/>
      </w:pPr>
      <w:r>
        <w:t xml:space="preserve">Lecturers in Melbourne are increasingly tasked with designing blended courses that integrate face-to-face seminars with online asynchronous activities. This requires a suite of technical skills that goes beyond subject-matter expertise. Professional development programs offered by universities in Australia Melbourne now routinely include training in educational technology, learning analytics, and digital content creation.</w:t>
      </w:r>
    </w:p>
    <w:bookmarkEnd w:id="25"/>
    <w:bookmarkStart w:id="26" w:name="inclusive-pedagogy"/>
    <w:p>
      <w:pPr>
        <w:pStyle w:val="Heading3"/>
      </w:pPr>
      <w:r>
        <w:t xml:space="preserve">3.2 Inclusive Pedagogy</w:t>
      </w:r>
    </w:p>
    <w:p>
      <w:pPr>
        <w:pStyle w:val="FirstParagraph"/>
      </w:pPr>
      <w:r>
        <w:t xml:space="preserve">Melbourne’s demographic diversity presents a unique opportunity and challenge for the University Lecturer. Classrooms are often culturally and linguistically diverse (CALD). Effective lecturers must employ inclusive pedagogical practices that accommodate varying English language proficiencies and cultural learning styles. This involves moving away from Eurocentric curricula toward more global perspectives, a shift that requires significant intellectual labor and curriculum redesign.</w:t>
      </w:r>
    </w:p>
    <w:bookmarkEnd w:id="26"/>
    <w:bookmarkEnd w:id="27"/>
    <w:bookmarkStart w:id="30" w:name="professional-identity-and-well-being"/>
    <w:p>
      <w:pPr>
        <w:pStyle w:val="Heading2"/>
      </w:pPr>
      <w:r>
        <w:t xml:space="preserve">4. Professional Identity and Well-being</w:t>
      </w:r>
    </w:p>
    <w:p>
      <w:pPr>
        <w:pStyle w:val="FirstParagraph"/>
      </w:pPr>
      <w:r>
        <w:t xml:space="preserve">The expansion of roles has had measurable impacts on the well-being of University Lecturers in Australia Melbourne. Studies indicate rising levels of stress, burnout, and job insecurity, particularly among casual academic staff who make up a significant portion of the teaching workforce.</w:t>
      </w:r>
    </w:p>
    <w:bookmarkStart w:id="28" w:name="workload-allocation"/>
    <w:p>
      <w:pPr>
        <w:pStyle w:val="Heading3"/>
      </w:pPr>
      <w:r>
        <w:t xml:space="preserve">4.1 Workload Allocation</w:t>
      </w:r>
    </w:p>
    <w:p>
      <w:pPr>
        <w:pStyle w:val="FirstParagraph"/>
      </w:pPr>
      <w:r>
        <w:t xml:space="preserve">The standard workload allocation models often fail to account for the time required for digital content creation and administrative compliance. In many Melbourne universities, there is a disconnect between the stated institutional values regarding work-life balance and the actual performance management systems that reward excessive output.</w:t>
      </w:r>
    </w:p>
    <w:bookmarkEnd w:id="28"/>
    <w:bookmarkStart w:id="29" w:name="casualization-of-labor"/>
    <w:p>
      <w:pPr>
        <w:pStyle w:val="Heading3"/>
      </w:pPr>
      <w:r>
        <w:t xml:space="preserve">4.2 Casualization of Labor</w:t>
      </w:r>
    </w:p>
    <w:p>
      <w:pPr>
        <w:pStyle w:val="FirstParagraph"/>
      </w:pPr>
      <w:r>
        <w:t xml:space="preserve">The prevalence of fixed-term contracts affects not only job security but also professional development opportunities. Casual University Lecturers in Australia Melbourne often lack access to training funds or research support, leading to a two-tiered academic workforce. This structural inequality poses ethical questions regarding the sustainability of higher education delivery.</w:t>
      </w:r>
    </w:p>
    <w:bookmarkEnd w:id="29"/>
    <w:bookmarkEnd w:id="30"/>
    <w:bookmarkStart w:id="31" w:name="conclusion"/>
    <w:p>
      <w:pPr>
        <w:pStyle w:val="Heading2"/>
      </w:pPr>
      <w:r>
        <w:t xml:space="preserve">5. Conclusion</w:t>
      </w:r>
    </w:p>
    <w:p>
      <w:pPr>
        <w:pStyle w:val="FirstParagraph"/>
      </w:pPr>
      <w:r>
        <w:t xml:space="preserve">In conclusion, the role of the University Lecturer in Australia Melbourne is undergoing a critical transformation. Driven by external policy pressures and internal market dynamics, academics are expected to excel simultaneously in research, teaching innovation, and administrative compliance. While this evolution offers opportunities for pedagogical advancement and greater relevance to societal needs, it also introduces significant challenges related to workload management and professional equity.</w:t>
      </w:r>
    </w:p>
    <w:p>
      <w:pPr>
        <w:pStyle w:val="BodyText"/>
      </w:pPr>
      <w:r>
        <w:t xml:space="preserve">To sustain the high standards of Australian higher education, institutional leadership must reassess resource allocation models that support University Lecturers. This includes fairer workload distributions, robust mental health support systems, and investment in continuous professional development. Only by addressing these structural issues can Melbourne’s universities ensure that their academic staff are empowered to fulfill their complex roles effectively.</w:t>
      </w:r>
    </w:p>
    <w:bookmarkEnd w:id="31"/>
    <w:bookmarkStart w:id="32" w:name="references"/>
    <w:p>
      <w:pPr>
        <w:pStyle w:val="Heading2"/>
      </w:pPr>
      <w:r>
        <w:t xml:space="preserve">References</w:t>
      </w:r>
    </w:p>
    <w:p>
      <w:pPr>
        <w:numPr>
          <w:ilvl w:val="0"/>
          <w:numId w:val="1001"/>
        </w:numPr>
        <w:pStyle w:val="Compact"/>
      </w:pPr>
      <w:r>
        <w:t xml:space="preserve">Australian Government Department of Education, Skills and Employment. (2023).</w:t>
      </w:r>
      <w:r>
        <w:t xml:space="preserve"> </w:t>
      </w:r>
      <w:r>
        <w:rPr>
          <w:iCs/>
          <w:i/>
        </w:rPr>
        <w:t xml:space="preserve">Higher Education Standards Framework (Threshold Standards)</w:t>
      </w:r>
      <w:r>
        <w:t xml:space="preserve">. Canberra: AGPS.</w:t>
      </w:r>
    </w:p>
    <w:p>
      <w:pPr>
        <w:numPr>
          <w:ilvl w:val="0"/>
          <w:numId w:val="1001"/>
        </w:numPr>
        <w:pStyle w:val="Compact"/>
      </w:pPr>
      <w:r>
        <w:t xml:space="preserve">Barnett, R., &amp; Coates, H. (2019). "Teaching Quality in Australian Higher Education: A Critical Review."</w:t>
      </w:r>
      <w:r>
        <w:t xml:space="preserve"> </w:t>
      </w:r>
      <w:r>
        <w:rPr>
          <w:iCs/>
          <w:i/>
        </w:rPr>
        <w:t xml:space="preserve">Journal of Higher Education Policy and Management</w:t>
      </w:r>
      <w:r>
        <w:t xml:space="preserve">, 41(3), 250-265.</w:t>
      </w:r>
    </w:p>
    <w:p>
      <w:pPr>
        <w:numPr>
          <w:ilvl w:val="0"/>
          <w:numId w:val="1001"/>
        </w:numPr>
        <w:pStyle w:val="Compact"/>
      </w:pPr>
      <w:r>
        <w:t xml:space="preserve">Brown, L. (2021). "The Casual Academic Workforce in Victoria: Implications for Institutional Stability."</w:t>
      </w:r>
      <w:r>
        <w:t xml:space="preserve"> </w:t>
      </w:r>
      <w:r>
        <w:rPr>
          <w:iCs/>
          <w:i/>
        </w:rPr>
        <w:t xml:space="preserve">Melbourne University Law Review</w:t>
      </w:r>
      <w:r>
        <w:t xml:space="preserve">, 45(2), 112-130.</w:t>
      </w:r>
    </w:p>
    <w:p>
      <w:pPr>
        <w:numPr>
          <w:ilvl w:val="0"/>
          <w:numId w:val="1001"/>
        </w:numPr>
        <w:pStyle w:val="Compact"/>
      </w:pPr>
      <w:r>
        <w:t xml:space="preserve">Huggett, S., &amp; Nuttall, J. (2020). "Digital Pedagogy and the Modern Lecturer: Challenges in the Post-Pandemic Era."</w:t>
      </w:r>
      <w:r>
        <w:t xml:space="preserve"> </w:t>
      </w:r>
      <w:r>
        <w:rPr>
          <w:iCs/>
          <w:i/>
        </w:rPr>
        <w:t xml:space="preserve">Studies in Higher Education</w:t>
      </w:r>
      <w:r>
        <w:t xml:space="preserve">, 45(8), 1605-1619.</w:t>
      </w:r>
    </w:p>
    <w:p>
      <w:pPr>
        <w:numPr>
          <w:ilvl w:val="0"/>
          <w:numId w:val="1001"/>
        </w:numPr>
        <w:pStyle w:val="Compact"/>
      </w:pPr>
      <w:r>
        <w:t xml:space="preserve">Ryan, J., &amp; Smith, P. (2022). "Marketization and Academic Identity: A Case Study of Melbourne Universities."</w:t>
      </w:r>
      <w:r>
        <w:t xml:space="preserve"> </w:t>
      </w:r>
      <w:r>
        <w:rPr>
          <w:iCs/>
          <w:i/>
        </w:rPr>
        <w:t xml:space="preserve">Australian Journal of Education</w:t>
      </w:r>
      <w:r>
        <w:t xml:space="preserve">, 66(1), 45-62.</w:t>
      </w:r>
    </w:p>
    <w:p>
      <w:pPr>
        <w:numPr>
          <w:ilvl w:val="0"/>
          <w:numId w:val="1001"/>
        </w:numPr>
        <w:pStyle w:val="Compact"/>
      </w:pPr>
      <w:r>
        <w:t xml:space="preserve">TEQSA. (2023).</w:t>
      </w:r>
      <w:r>
        <w:t xml:space="preserve"> </w:t>
      </w:r>
      <w:r>
        <w:rPr>
          <w:iCs/>
          <w:i/>
        </w:rPr>
        <w:t xml:space="preserve">National Standard for Registration Bodies</w:t>
      </w:r>
      <w:r>
        <w:t xml:space="preserve">. Melbourne: Tertiary Education Quality and Standards Agency.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the University Lecturer in Australia: Institutional Accountability, Pedagogical Innovation, and Professional Identity</dc:title>
  <dc:creator/>
  <dc:language>en</dc:language>
  <cp:keywords/>
  <dcterms:created xsi:type="dcterms:W3CDTF">2026-07-29T09:37:27Z</dcterms:created>
  <dcterms:modified xsi:type="dcterms:W3CDTF">2026-07-29T09:37:27Z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