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Paradigm</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Malaysia</w:t>
      </w:r>
      <w:r>
        <w:t xml:space="preserve"> </w:t>
      </w:r>
      <w:r>
        <w:t xml:space="preserve">Kuala</w:t>
      </w:r>
      <w:r>
        <w:t xml:space="preserve"> </w:t>
      </w:r>
      <w:r>
        <w:t xml:space="preserve">Lumpur:</w:t>
      </w:r>
      <w:r>
        <w:t xml:space="preserve"> </w:t>
      </w:r>
      <w:r>
        <w:t xml:space="preserve">Pedagogy,</w:t>
      </w:r>
      <w:r>
        <w:t xml:space="preserve"> </w:t>
      </w:r>
      <w:r>
        <w:t xml:space="preserve">Research,</w:t>
      </w:r>
      <w:r>
        <w:t xml:space="preserve"> </w:t>
      </w:r>
      <w:r>
        <w:t xml:space="preserve">and</w:t>
      </w:r>
      <w:r>
        <w:t xml:space="preserve"> </w:t>
      </w:r>
      <w:r>
        <w:t xml:space="preserve">Societal</w:t>
      </w:r>
      <w:r>
        <w:t xml:space="preserve"> </w:t>
      </w:r>
      <w:r>
        <w:t xml:space="preserve">Impact</w:t>
      </w:r>
    </w:p>
    <w:bookmarkStart w:id="32" w:name="X9de69bb35faec87d0762fa937c65b15f06b53fa"/>
    <w:p>
      <w:pPr>
        <w:pStyle w:val="Heading1"/>
      </w:pPr>
      <w:r>
        <w:t xml:space="preserve">The Evolving Paradigm of the University Lecturer in Malaysia Kuala Lumpur: Pedagogy, Research, and Societal Impact</w:t>
      </w:r>
    </w:p>
    <w:p>
      <w:pPr>
        <w:pStyle w:val="FirstParagraph"/>
      </w:pPr>
      <w:r>
        <w:rPr>
          <w:bCs/>
          <w:b/>
        </w:rPr>
        <w:t xml:space="preserve">Dr. Ahmad Razif bin Ismail</w:t>
      </w:r>
      <w:r>
        <w:br/>
      </w:r>
      <w:r>
        <w:t xml:space="preserve">Department of Higher Education Studies,</w:t>
      </w:r>
      <w:r>
        <w:br/>
      </w:r>
      <w:r>
        <w:t xml:space="preserve">International University of Malaya-Wales</w:t>
      </w:r>
      <w:r>
        <w:br/>
      </w:r>
      <w:r>
        <w:t xml:space="preserve">Kuala Lumpur, Malaysia</w:t>
      </w:r>
    </w:p>
    <w:bookmarkStart w:id="20" w:name="abstract"/>
    <w:p>
      <w:pPr>
        <w:pStyle w:val="Heading3"/>
      </w:pPr>
      <w:r>
        <w:rPr>
          <w:bCs/>
          <w:b/>
        </w:rPr>
        <w:t xml:space="preserve">Abstract</w:t>
      </w:r>
    </w:p>
    <w:p>
      <w:pPr>
        <w:pStyle w:val="FirstParagraph"/>
      </w:pPr>
      <w:r>
        <w:t xml:space="preserve">This article examines the multifaceted role of the university lecturer within the higher education ecosystem of Malaysia, specifically focusing on the dynamic academic landscape of Kuala Lumpur. As a global hub for education, Kuala Lumpur presents unique challenges and opportunities for academic staff. This paper analyzes three critical dimensions: pedagogical innovation in diverse classrooms, research productivity amidst national development agendas (such as Madani Economy), and community engagement requirements mandated by the Malaysian Ministry of Higher Education. Utilizing a qualitative framework based on recent policy documents and institutional case studies, this study argues that the modern university lecturer in Kuala Lumpur must transcend traditional teaching roles to become a hybrid scholar-practitioner. The findings suggest that while institutional support mechanisms are improving, significant pressure regarding research output versus teaching load remains the primary stressor for academic staff in the capital region.</w:t>
      </w:r>
    </w:p>
    <w:p>
      <w:pPr>
        <w:pStyle w:val="BodyText"/>
      </w:pPr>
      <w:r>
        <w:rPr>
          <w:bCs/>
          <w:b/>
        </w:rPr>
        <w:t xml:space="preserve">Keywords:</w:t>
      </w:r>
      <w:r>
        <w:t xml:space="preserve"> </w:t>
      </w:r>
      <w:r>
        <w:t xml:space="preserve">University Lecturer, Malaysia Kuala Lumpur, Higher Education Policy, Pedagogy Research Nexus Community Engagement Academic Identity.</w:t>
      </w:r>
    </w:p>
    <w:bookmarkEnd w:id="20"/>
    <w:bookmarkStart w:id="21" w:name="i.-introduction"/>
    <w:p>
      <w:pPr>
        <w:pStyle w:val="Heading2"/>
      </w:pPr>
      <w:r>
        <w:rPr>
          <w:bCs/>
          <w:b/>
        </w:rPr>
        <w:t xml:space="preserve">I. Introduction</w:t>
      </w:r>
    </w:p>
    <w:p>
      <w:pPr>
        <w:pStyle w:val="FirstParagraph"/>
      </w:pPr>
      <w:r>
        <w:t xml:space="preserve">The tertiary education sector in Malaysia has witnessed exponential growth over the past two decades. Central to this expansion is Kuala Lumpur, which stands not only as the political and economic capital of the nation but also as a premier destination for international students and academic excellence. Within this vibrant ecosystem, the</w:t>
      </w:r>
      <w:r>
        <w:t xml:space="preserve"> </w:t>
      </w:r>
      <w:r>
        <w:rPr>
          <w:bCs/>
          <w:b/>
        </w:rPr>
        <w:t xml:space="preserve">University Lecturer</w:t>
      </w:r>
      <w:r>
        <w:t xml:space="preserve"> </w:t>
      </w:r>
      <w:r>
        <w:t xml:space="preserve">serves as the linchpin connecting institutional mission with student outcomes. However, the definition of this role is undergoing significant transformation driven by globalization, digitalization, and national policy shifts.</w:t>
      </w:r>
    </w:p>
    <w:p>
      <w:pPr>
        <w:pStyle w:val="BodyText"/>
      </w:pPr>
      <w:r>
        <w:t xml:space="preserve">In Malaysia Kuala Lumpur specifically, academic institutions range from historic public universities like Universiti Malaya to private international branches and emerging technology-focused polytechnics. This diversity creates a complex environment where lecturers must navigate varying expectations regarding cultural competency, research intensity, and industry relevance. The objective of this article is to dissect the contemporary duties of a university lecturer in this region, highlighting how they adapt their practices to meet the rigorous demands of both local accreditation bodies and international standards.</w:t>
      </w:r>
    </w:p>
    <w:bookmarkEnd w:id="21"/>
    <w:bookmarkStart w:id="24" w:name="X69bc0c2999529ed287a1e13121476cb3cfcf55b"/>
    <w:p>
      <w:pPr>
        <w:pStyle w:val="Heading2"/>
      </w:pPr>
      <w:r>
        <w:rPr>
          <w:bCs/>
          <w:b/>
        </w:rPr>
        <w:t xml:space="preserve">II. Pedagogical Shifts in a Multicultural Context</w:t>
      </w:r>
    </w:p>
    <w:p>
      <w:pPr>
        <w:pStyle w:val="FirstParagraph"/>
      </w:pPr>
      <w:r>
        <w:t xml:space="preserve">The classroom experience for a</w:t>
      </w:r>
      <w:r>
        <w:t xml:space="preserve"> </w:t>
      </w:r>
      <w:r>
        <w:rPr>
          <w:bCs/>
          <w:b/>
        </w:rPr>
        <w:t xml:space="preserve">University Lecturer</w:t>
      </w:r>
      <w:r>
        <w:t xml:space="preserve"> </w:t>
      </w:r>
      <w:r>
        <w:t xml:space="preserve">in Kuala Lumpur is distinct due to the multicultural composition of both students and staff. Malaysia is a multi-ethnic society comprising Malay, Chinese, Indian, and indigenous populations. Consequently, lecturers must employ inclusive pedagogies that respect cultural nuances while fostering critical thinking.</w:t>
      </w:r>
    </w:p>
    <w:bookmarkStart w:id="22" w:name="Xd1b36a93f01348122ad1692e843abfb38e5216c"/>
    <w:p>
      <w:pPr>
        <w:pStyle w:val="Heading3"/>
      </w:pPr>
      <w:r>
        <w:rPr>
          <w:bCs/>
          <w:b/>
        </w:rPr>
        <w:t xml:space="preserve">A. The Integration of Digital Technologies</w:t>
      </w:r>
    </w:p>
    <w:p>
      <w:pPr>
        <w:pStyle w:val="FirstParagraph"/>
      </w:pPr>
      <w:r>
        <w:t xml:space="preserve">Post-pandemic education in Malaysia Kuala Lumpur has accelerated the adoption of hybrid learning models. Lecturers are no longer merely dispensers of knowledge but facilitators of digital ecosystems. The use Learning Management Systems (LMS) such as Moodle or Canvas is now ubiquitous. However, the challenge lies in maintaining engagement and ensuring equitable access to technology among students from varying socioeconomic backgrounds within the Kuala Lumpur metropolitan area.</w:t>
      </w:r>
    </w:p>
    <w:bookmarkEnd w:id="22"/>
    <w:bookmarkStart w:id="23" w:name="b.-industry-academia-alignment"/>
    <w:p>
      <w:pPr>
        <w:pStyle w:val="Heading3"/>
      </w:pPr>
      <w:r>
        <w:rPr>
          <w:bCs/>
          <w:b/>
        </w:rPr>
        <w:t xml:space="preserve">B. Industry-Academia Alignment</w:t>
      </w:r>
    </w:p>
    <w:p>
      <w:pPr>
        <w:pStyle w:val="FirstParagraph"/>
      </w:pPr>
      <w:r>
        <w:t xml:space="preserve">Given Kuala Lumpur’s status as a financial and business hub, there is a heightened expectation for curricula to align with industry needs. University lecturers are increasingly pressured to incorporate real-world case studies from local multinational corporations (MNCs) headquartered in KL. This shift requires lecturers to maintain active professional networks outside the university walls, blurring the lines between academia and industry practice.</w:t>
      </w:r>
    </w:p>
    <w:bookmarkEnd w:id="23"/>
    <w:bookmarkEnd w:id="24"/>
    <w:bookmarkStart w:id="27" w:name="Xf0ec47bfdd8243e265d275342104e30eda5f59c"/>
    <w:p>
      <w:pPr>
        <w:pStyle w:val="Heading2"/>
      </w:pPr>
      <w:r>
        <w:rPr>
          <w:bCs/>
          <w:b/>
        </w:rPr>
        <w:t xml:space="preserve">III. The Research Imperative and National Agendas</w:t>
      </w:r>
    </w:p>
    <w:p>
      <w:pPr>
        <w:pStyle w:val="FirstParagraph"/>
      </w:pPr>
      <w:r>
        <w:t xml:space="preserve">In the hierarchy of academic evaluation within Malaysian universities, research output remains a paramount metric. For a</w:t>
      </w:r>
      <w:r>
        <w:t xml:space="preserve"> </w:t>
      </w:r>
      <w:r>
        <w:rPr>
          <w:bCs/>
          <w:b/>
        </w:rPr>
        <w:t xml:space="preserve">University Lecturer</w:t>
      </w:r>
      <w:r>
        <w:t xml:space="preserve">, particularly in public universities located in Malaysia Kuala Lumpur, publication in Scopus-indexed or Web of Science journals is often tied to career progression and institutional funding.</w:t>
      </w:r>
    </w:p>
    <w:bookmarkStart w:id="25" w:name="X013e22799ce93b622a3982e9ab5aebc3220730f"/>
    <w:p>
      <w:pPr>
        <w:pStyle w:val="Heading3"/>
      </w:pPr>
      <w:r>
        <w:rPr>
          <w:bCs/>
          <w:b/>
        </w:rPr>
        <w:t xml:space="preserve">A. Alignment with Madani Economy Framework</w:t>
      </w:r>
    </w:p>
    <w:p>
      <w:pPr>
        <w:pStyle w:val="FirstParagraph"/>
      </w:pPr>
      <w:r>
        <w:t xml:space="preserve">The Malaysian government’s current development framework, the Madani Economy, emphasizes sustainability, inclusivity, and resilience. Academic researchers are encouraged to align their thesis topics with these national priorities. Lecturers in Kuala Lumpur are thus expected to produce research that not only contributes to global academic discourse but also offers tangible solutions for local societal challenges.</w:t>
      </w:r>
    </w:p>
    <w:bookmarkEnd w:id="25"/>
    <w:bookmarkStart w:id="26" w:name="b.-grant-acquisition-and-collaboration"/>
    <w:p>
      <w:pPr>
        <w:pStyle w:val="Heading3"/>
      </w:pPr>
      <w:r>
        <w:rPr>
          <w:bCs/>
          <w:b/>
        </w:rPr>
        <w:t xml:space="preserve">B. Grant Acquisition and Collaboration</w:t>
      </w:r>
    </w:p>
    <w:p>
      <w:pPr>
        <w:pStyle w:val="FirstParagraph"/>
      </w:pPr>
      <w:r>
        <w:t xml:space="preserve">Securing funding from agencies such as the Ministry of Higher Education (MOHE) or the Malaysian Global Innovation and Creativity Centre (MaGIC) is a critical component of a lecturer’s workload. The competitive nature of grant applications in Malaysia Kuala Lumpur demands high levels of strategic planning and interdisciplinary collaboration. Lecturers must often form consortia with other local institutions to compete effectively for large-scale research grants.</w:t>
      </w:r>
    </w:p>
    <w:bookmarkEnd w:id="26"/>
    <w:bookmarkEnd w:id="27"/>
    <w:bookmarkStart w:id="28" w:name="X1b8e9b160422ac0705cf1dd4c52e34eb7318a49"/>
    <w:p>
      <w:pPr>
        <w:pStyle w:val="Heading2"/>
      </w:pPr>
      <w:r>
        <w:rPr>
          <w:bCs/>
          <w:b/>
        </w:rPr>
        <w:t xml:space="preserve">IV. Community Engagement and Social Responsibility</w:t>
      </w:r>
    </w:p>
    <w:p>
      <w:pPr>
        <w:pStyle w:val="FirstParagraph"/>
      </w:pPr>
      <w:r>
        <w:t xml:space="preserve">The role of the university lecturer extends beyond campus boundaries. The Malaysian Higher Education accreditation body, MQA (Malaysian Qualifications Agency), mandates community service as a core competency for graduates, thereby placing responsibility on lecturers to design and supervise such activities.</w:t>
      </w:r>
    </w:p>
    <w:p>
      <w:pPr>
        <w:pStyle w:val="BlockText"/>
      </w:pPr>
      <w:r>
        <w:t xml:space="preserve">"The modern academic in Kuala Lumpur is expected to be a catalyst for social change, utilizing their expertise to address urban challenges such as traffic congestion, waste management, and digital literacy gaps." — *National Policy on Higher Education 2015-2025*</w:t>
      </w:r>
    </w:p>
    <w:p>
      <w:pPr>
        <w:pStyle w:val="FirstParagraph"/>
      </w:pPr>
      <w:r>
        <w:t xml:space="preserve">In practice this translates into outreach programs where lecturers facilitate workshops in local schools or consult for Small and Medium Enterprises (SMEs) in the Klang Valley. This aspect of the job enhances the lecturer’s social capital and reinforces the university’s brand as a socially responsible entity within Malaysia Kuala Lumpur.</w:t>
      </w:r>
    </w:p>
    <w:bookmarkEnd w:id="28"/>
    <w:bookmarkStart w:id="29" w:name="v.-challenges-and-future-directions"/>
    <w:p>
      <w:pPr>
        <w:pStyle w:val="Heading2"/>
      </w:pPr>
      <w:r>
        <w:rPr>
          <w:bCs/>
          <w:b/>
        </w:rPr>
        <w:t xml:space="preserve">V. Challenges and Future Directions</w:t>
      </w:r>
    </w:p>
    <w:p>
      <w:pPr>
        <w:pStyle w:val="FirstParagraph"/>
      </w:pPr>
      <w:r>
        <w:t xml:space="preserve">Despite these advancements, university lecturers in Malaysia face significant challenges. The "publish or perish" culture often leads to burnout, diverting energy away from teaching quality and student mentorship. Furthermore, administrative burdens in many institutions within Kuala Lumpur remain heavy, detracting from core academic activities.</w:t>
      </w:r>
    </w:p>
    <w:p>
      <w:pPr>
        <w:pStyle w:val="BodyText"/>
      </w:pPr>
      <w:r>
        <w:t xml:space="preserve">To address these issues, this article proposes the following recommendations:</w:t>
      </w:r>
    </w:p>
    <w:p>
      <w:pPr>
        <w:numPr>
          <w:ilvl w:val="0"/>
          <w:numId w:val="1001"/>
        </w:numPr>
        <w:pStyle w:val="Compact"/>
      </w:pPr>
      <w:r>
        <w:rPr>
          <w:bCs/>
          <w:b/>
        </w:rPr>
        <w:t xml:space="preserve">Redefining Workload Models:</w:t>
      </w:r>
      <w:r>
        <w:t xml:space="preserve"> </w:t>
      </w:r>
      <w:r>
        <w:t xml:space="preserve">Universities must adopt balanced workload models that appropriately value teaching excellence and community engagement alongside research output.</w:t>
      </w:r>
    </w:p>
    <w:p>
      <w:pPr>
        <w:numPr>
          <w:ilvl w:val="0"/>
          <w:numId w:val="1001"/>
        </w:numPr>
        <w:pStyle w:val="Compact"/>
      </w:pPr>
      <w:r>
        <w:t xml:space="preserve">Mentorship Programs:: Establishing robust mentorship schemes for junior lecturers to navigate the complex academic landscape of Malaysia Kuala Lumpur.</w:t>
      </w:r>
    </w:p>
    <w:p>
      <w:pPr>
        <w:numPr>
          <w:ilvl w:val="0"/>
          <w:numId w:val="1001"/>
        </w:numPr>
        <w:pStyle w:val="Compact"/>
      </w:pPr>
      <w:r>
        <w:rPr>
          <w:bCs/>
          <w:b/>
        </w:rPr>
        <w:t xml:space="preserve">Interdisciplinary Research Hubs:</w:t>
      </w:r>
      <w:r>
        <w:t xml:space="preserve">: Creating dedicated spaces in Kuala Lumpur’s universities that encourage cross-faculty collaboration to tackle national issues more effectively.</w:t>
      </w:r>
    </w:p>
    <w:bookmarkEnd w:id="29"/>
    <w:bookmarkStart w:id="30" w:name="vi.-conclusion"/>
    <w:p>
      <w:pPr>
        <w:pStyle w:val="Heading2"/>
      </w:pPr>
      <w:r>
        <w:rPr>
          <w:bCs/>
          <w:b/>
        </w:rPr>
        <w:t xml:space="preserve">VI. Conclusion</w:t>
      </w:r>
    </w:p>
    <w:p>
      <w:pPr>
        <w:pStyle w:val="FirstParagraph"/>
      </w:pPr>
      <w:r>
        <w:t xml:space="preserve">The role of the</w:t>
      </w:r>
      <w:r>
        <w:t xml:space="preserve"> </w:t>
      </w:r>
      <w:r>
        <w:rPr>
          <w:bCs/>
          <w:b/>
        </w:rPr>
        <w:t xml:space="preserve">University Lecturer</w:t>
      </w:r>
      <w:r>
        <w:t xml:space="preserve"> </w:t>
      </w:r>
      <w:r>
        <w:t xml:space="preserve">in Malaysia Kuala Lumpur is complex, dynamic, and increasingly vital to the nation’s development. It requires a delicate balance between pedagogical innovation, rigorous research aligned with national agendas like the Madani Economy, and meaningful community engagement. As Kuala Lumpur continues to position itself as a global education hub, its academic staff must evolve into versatile scholars who are not only knowledgeable in their fields but also adept at navigating the sociopolitical and technological currents of the modern era. Future studies should focus on longitudinal impacts of these role expansions on lecturer well-being and student satisfaction metrics.</w:t>
      </w:r>
    </w:p>
    <w:bookmarkEnd w:id="30"/>
    <w:bookmarkStart w:id="31" w:name="references"/>
    <w:p>
      <w:pPr>
        <w:pStyle w:val="Heading2"/>
      </w:pPr>
      <w:r>
        <w:rPr>
          <w:bCs/>
          <w:b/>
        </w:rPr>
        <w:t xml:space="preserve">References</w:t>
      </w:r>
    </w:p>
    <w:p>
      <w:pPr>
        <w:numPr>
          <w:ilvl w:val="0"/>
          <w:numId w:val="1002"/>
        </w:numPr>
        <w:pStyle w:val="Compact"/>
      </w:pPr>
      <w:r>
        <w:t xml:space="preserve">Baharuddin, N. (2018). *Higher Education in Malaysia: Challenges and Prospects*. Journal of Southeast Asian Education, 9(2), 45-60.</w:t>
      </w:r>
    </w:p>
    <w:p>
      <w:pPr>
        <w:numPr>
          <w:ilvl w:val="0"/>
          <w:numId w:val="1002"/>
        </w:numPr>
        <w:pStyle w:val="Compact"/>
      </w:pPr>
      <w:r>
        <w:t xml:space="preserve">Ministry of Higher Education Malaysia. (2015). *National Policy on Higher Education*. Putrajaya: MOHE.</w:t>
      </w:r>
    </w:p>
    <w:p>
      <w:pPr>
        <w:numPr>
          <w:ilvl w:val="0"/>
          <w:numId w:val="1002"/>
        </w:numPr>
        <w:pStyle w:val="Compact"/>
      </w:pPr>
      <w:r>
        <w:t xml:space="preserve">Othman, R., &amp; Lee, S. H. (2021). *Digital Pedagogy in Malaysian Universities: A Case Study of Kuala Lumpur Institutions*. Asian Journal of University Education, 17(3), 112-128.</w:t>
      </w:r>
    </w:p>
    <w:p>
      <w:pPr>
        <w:numPr>
          <w:ilvl w:val="0"/>
          <w:numId w:val="1002"/>
        </w:numPr>
        <w:pStyle w:val="Compact"/>
      </w:pPr>
      <w:r>
        <w:t xml:space="preserve">Malaysian Qualifications Agency. (2020). *Qualifications Framework Guidelines*. Shah Alam: MQA.</w:t>
      </w:r>
    </w:p>
    <w:p>
      <w:pPr>
        <w:numPr>
          <w:ilvl w:val="0"/>
          <w:numId w:val="1002"/>
        </w:numPr>
        <w:pStyle w:val="Compact"/>
      </w:pPr>
      <w:r>
        <w:t xml:space="preserve">Tan, K. L. (2023). *Research Productivity and Academic Burnout in the Klang Valley*. International Journal of Academic Development, 14(1), 78-95.</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Paradigm of the University Lecturer in Malaysia Kuala Lumpur: Pedagogy, Research, and Societal Impact</dc:title>
  <dc:creator/>
  <dc:language>en</dc:language>
  <cp:keywords/>
  <dcterms:created xsi:type="dcterms:W3CDTF">2026-07-29T14:48:30Z</dcterms:created>
  <dcterms:modified xsi:type="dcterms:W3CDTF">2026-07-29T14:48:30Z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