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Research</w:t>
      </w:r>
      <w:r>
        <w:t xml:space="preserve"> </w:t>
      </w:r>
      <w:r>
        <w:t xml:space="preserve">Dynamics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Moscow:</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Institutional</w:t>
      </w:r>
      <w:r>
        <w:t xml:space="preserve"> </w:t>
      </w:r>
      <w:r>
        <w:t xml:space="preserve">Evolution</w:t>
      </w:r>
    </w:p>
    <w:bookmarkStart w:id="29" w:name="Xf2722f4d4730459cbd55d84b8201d8e2a02df80"/>
    <w:p>
      <w:pPr>
        <w:pStyle w:val="Heading1"/>
      </w:pPr>
      <w:r>
        <w:t xml:space="preserve">The Pedagogical and Research Dynamics of the University Lecturer in Contemporary Moscow</w:t>
      </w:r>
    </w:p>
    <w:p>
      <w:pPr>
        <w:pStyle w:val="FirstParagraph"/>
      </w:pPr>
      <w:r>
        <w:rPr>
          <w:bCs/>
          <w:b/>
        </w:rPr>
        <w:t xml:space="preserve">Dr. Alexei V. Volkov</w:t>
      </w:r>
      <w:r>
        <w:br/>
      </w:r>
      <w:r>
        <w:t xml:space="preserve">Institute of Higher Education Studies, National Research University</w:t>
      </w:r>
      <w:r>
        <w:br/>
      </w:r>
      <w:r>
        <w:t xml:space="preserve">Moscow, Russian Federation</w:t>
      </w:r>
    </w:p>
    <w:bookmarkStart w:id="20" w:name="abstract"/>
    <w:p>
      <w:pPr>
        <w:pStyle w:val="Heading3"/>
      </w:pPr>
      <w:r>
        <w:t xml:space="preserve">Abstract</w:t>
      </w:r>
    </w:p>
    <w:p>
      <w:pPr>
        <w:pStyle w:val="FirstParagraph"/>
      </w:pPr>
      <w:r>
        <w:t xml:space="preserve">This paper examines the evolving role of the university lecturer within the specific socio-academic context of Russia and Moscow. As higher education institutions in Moscow transition from traditional Soviet-era models to modern Bologna-compliant systems, the responsibilities, challenges, and expectations placed upon academic staff have undergone significant transformation. This article analyzes the dual mandate of teaching and research that defines the contemporary</w:t>
      </w:r>
      <w:r>
        <w:t xml:space="preserve"> </w:t>
      </w:r>
      <w:r>
        <w:rPr>
          <w:bCs/>
          <w:b/>
        </w:rPr>
        <w:t xml:space="preserve">University Lecturer</w:t>
      </w:r>
      <w:r>
        <w:t xml:space="preserve">, highlighting the unique pressures exerted by rapid digitalization, state-funded research priorities in</w:t>
      </w:r>
      <w:r>
        <w:t xml:space="preserve"> </w:t>
      </w:r>
      <w:r>
        <w:rPr>
          <w:bCs/>
          <w:b/>
        </w:rPr>
        <w:t xml:space="preserve">Russia Moscow</w:t>
      </w:r>
      <w:r>
        <w:t xml:space="preserve">, and shifting student demographics. By synthesizing recent policy frameworks with empirical observations, this study argues that while structural reforms have improved infrastructure, they have also intensified the performance metrics required of faculty members.</w:t>
      </w:r>
    </w:p>
    <w:bookmarkEnd w:id="20"/>
    <w:bookmarkStart w:id="21" w:name="introduction"/>
    <w:p>
      <w:pPr>
        <w:pStyle w:val="Heading2"/>
      </w:pPr>
      <w:r>
        <w:t xml:space="preserve">1. Introduction</w:t>
      </w:r>
    </w:p>
    <w:p>
      <w:pPr>
        <w:pStyle w:val="FirstParagraph"/>
      </w:pPr>
      <w:r>
        <w:t xml:space="preserve">The landscape of higher education in Russia has been characterized by rapid and often turbulent change over the past three decades. At the heart of this transformation is the figure of the university lecturer, an academic whose role is pivotal to both national development and individual student success. In</w:t>
      </w:r>
      <w:r>
        <w:t xml:space="preserve"> </w:t>
      </w:r>
      <w:r>
        <w:rPr>
          <w:bCs/>
          <w:b/>
        </w:rPr>
        <w:t xml:space="preserve">Russia Moscow</w:t>
      </w:r>
      <w:r>
        <w:t xml:space="preserve">, a city that serves as the intellectual and political capital, universities operate under heightened scrutiny from federal authorities, international partners, and local communities. The traditional archetype of the Soviet-era scholar—often isolated within their departmental silo—has largely been supplanted by a more integrated, competitive, and internationally oriented professional identity.</w:t>
      </w:r>
    </w:p>
    <w:p>
      <w:pPr>
        <w:pStyle w:val="BodyText"/>
      </w:pPr>
      <w:r>
        <w:t xml:space="preserve">This article seeks to explore the multifaceted nature of this modern academic role. Specifically, it addresses how</w:t>
      </w:r>
      <w:r>
        <w:t xml:space="preserve"> </w:t>
      </w:r>
      <w:r>
        <w:rPr>
          <w:bCs/>
          <w:b/>
        </w:rPr>
        <w:t xml:space="preserve">University Lecturer</w:t>
      </w:r>
      <w:r>
        <w:t xml:space="preserve"> </w:t>
      </w:r>
      <w:r>
        <w:t xml:space="preserve">positions in Moscow have adapted to new regulatory environments, such as the implementation of "Project 5-100," which aimed to bring select Russian universities into the global top 100 by 2020. While that specific initiative has concluded, its legacy remains evident in the performance-based evaluation systems currently utilized by institutions across</w:t>
      </w:r>
      <w:r>
        <w:t xml:space="preserve"> </w:t>
      </w:r>
      <w:r>
        <w:rPr>
          <w:bCs/>
          <w:b/>
        </w:rPr>
        <w:t xml:space="preserve">Russia Moscow</w:t>
      </w:r>
      <w:r>
        <w:t xml:space="preserve">, including Lomonosov Moscow State University (MSU), Higher School of Economics (HSE), and Skoltech.</w:t>
      </w:r>
    </w:p>
    <w:bookmarkEnd w:id="21"/>
    <w:bookmarkStart w:id="24" w:name="the-dual-mandate-teaching-vs.-research"/>
    <w:p>
      <w:pPr>
        <w:pStyle w:val="Heading2"/>
      </w:pPr>
      <w:r>
        <w:t xml:space="preserve">2. The Dual Mandate: Teaching vs. Research</w:t>
      </w:r>
    </w:p>
    <w:p>
      <w:pPr>
        <w:pStyle w:val="FirstParagraph"/>
      </w:pPr>
      <w:r>
        <w:t xml:space="preserve">A central tension in the contemporary academic career path is the balancing act between pedagogical duties and scholarly output. Historically, Russian academia placed a premium on theoretical depth and research prestige, often at the expense of undergraduate teaching quality. However, recent reforms have sought to rebalance this equation.</w:t>
      </w:r>
    </w:p>
    <w:bookmarkStart w:id="22" w:name="pedagogical-responsibilities"/>
    <w:p>
      <w:pPr>
        <w:pStyle w:val="Heading3"/>
      </w:pPr>
      <w:r>
        <w:t xml:space="preserve">2.1 Pedagogical Responsibilities</w:t>
      </w:r>
    </w:p>
    <w:p>
      <w:pPr>
        <w:pStyle w:val="FirstParagraph"/>
      </w:pPr>
      <w:r>
        <w:t xml:space="preserve">The modern university lecturer in Moscow is expected to employ active learning strategies, integrate digital tools into the curriculum, and foster critical thinking skills among students. This shift represents a departure from the lecture-based memorization techniques predominant in the 20th century. In</w:t>
      </w:r>
      <w:r>
        <w:t xml:space="preserve"> </w:t>
      </w:r>
      <w:r>
        <w:rPr>
          <w:bCs/>
          <w:b/>
        </w:rPr>
        <w:t xml:space="preserve">Russia Moscow</w:t>
      </w:r>
      <w:r>
        <w:t xml:space="preserve">, where competition for admission to top-tier universities is fierce, students arrive with high academic expectations and demand pedagogical engagement that prepares them for global markets.</w:t>
      </w:r>
    </w:p>
    <w:p>
      <w:pPr>
        <w:pStyle w:val="BodyText"/>
      </w:pPr>
      <w:r>
        <w:t xml:space="preserve">Furthermore, the influx of international students into Moscow’s higher education institutions has necessitated a greater emphasis on English-medium instruction. Consequently, many</w:t>
      </w:r>
      <w:r>
        <w:t xml:space="preserve"> </w:t>
      </w:r>
      <w:r>
        <w:rPr>
          <w:bCs/>
          <w:b/>
        </w:rPr>
        <w:t xml:space="preserve">University Lecturer</w:t>
      </w:r>
      <w:r>
        <w:t xml:space="preserve"> </w:t>
      </w:r>
      <w:r>
        <w:t xml:space="preserve">roles now require bilingual proficiency or specialized training in teaching Russian as a second language. This adds a layer of complexity to faculty development programs, requiring institutions to invest heavily in linguistic and cultural competency training.</w:t>
      </w:r>
    </w:p>
    <w:bookmarkEnd w:id="22"/>
    <w:bookmarkStart w:id="23" w:name="research-expectations-and-metrics"/>
    <w:p>
      <w:pPr>
        <w:pStyle w:val="Heading3"/>
      </w:pPr>
      <w:r>
        <w:t xml:space="preserve">2.2 Research Expectations and Metrics</w:t>
      </w:r>
    </w:p>
    <w:p>
      <w:pPr>
        <w:pStyle w:val="FirstParagraph"/>
      </w:pPr>
      <w:r>
        <w:t xml:space="preserve">Concurrently, the pressure to publish remains intense. Academic promotion in Moscow universities is heavily tied to publication records in indexed journals (Scopus, Web of Science) and securing competitive grants from entities such as the Russian Science Foundation (RSF). For a</w:t>
      </w:r>
      <w:r>
        <w:t xml:space="preserve"> </w:t>
      </w:r>
      <w:r>
        <w:rPr>
          <w:bCs/>
          <w:b/>
        </w:rPr>
        <w:t xml:space="preserve">University Lecturer</w:t>
      </w:r>
      <w:r>
        <w:t xml:space="preserve">, failure to meet these quantitative thresholds can result in contract non-renewal or stagnation in career progression.</w:t>
      </w:r>
    </w:p>
    <w:p>
      <w:pPr>
        <w:pStyle w:val="BodyText"/>
      </w:pPr>
      <w:r>
        <w:t xml:space="preserve">This metric-driven culture has led to what some critics term "publish or perish" syndrome, adapted specifically for the Russian context. In</w:t>
      </w:r>
      <w:r>
        <w:t xml:space="preserve"> </w:t>
      </w:r>
      <w:r>
        <w:rPr>
          <w:bCs/>
          <w:b/>
        </w:rPr>
        <w:t xml:space="preserve">Russia Moscow</w:t>
      </w:r>
      <w:r>
        <w:t xml:space="preserve">, where funding is often concentrated among elite institutions, mid-tier university lecturers face even greater difficulties accessing resources and publication venues compared to their counterparts at leading federal universities. This disparity creates a stratified academic workforce, with varying degrees of professional security and support.</w:t>
      </w:r>
    </w:p>
    <w:bookmarkEnd w:id="23"/>
    <w:bookmarkEnd w:id="24"/>
    <w:bookmarkStart w:id="25" w:name="X99a54f6faf2d23f08e1110d3dc4907bd9340858"/>
    <w:p>
      <w:pPr>
        <w:pStyle w:val="Heading2"/>
      </w:pPr>
      <w:r>
        <w:t xml:space="preserve">3. The Institutional Context in Russia Moscow</w:t>
      </w:r>
    </w:p>
    <w:p>
      <w:pPr>
        <w:pStyle w:val="FirstParagraph"/>
      </w:pPr>
      <w:r>
        <w:t xml:space="preserve">The city of Moscow operates as a distinct ecosystem within the broader Russian higher education system. It hosts the highest concentration of research funding, prestigious institutions, and international collaborations in the country. For a</w:t>
      </w:r>
      <w:r>
        <w:t xml:space="preserve"> </w:t>
      </w:r>
      <w:r>
        <w:rPr>
          <w:bCs/>
          <w:b/>
        </w:rPr>
        <w:t xml:space="preserve">University Lecturer</w:t>
      </w:r>
      <w:r>
        <w:t xml:space="preserve"> </w:t>
      </w:r>
      <w:r>
        <w:t xml:space="preserve">based in this hub, opportunities for interdisciplinary collaboration are abundant but highly competitive.</w:t>
      </w:r>
    </w:p>
    <w:p>
      <w:pPr>
        <w:pStyle w:val="BodyText"/>
      </w:pPr>
      <w:r>
        <w:t xml:space="preserve">The administrative structure of universities in Moscow has also shifted toward more managerial models. Deans and department heads are increasingly evaluated on key performance indicators (KPIs) related to student enrollment, graduation rates, and research citations. These top-down pressures filter down to the individual lecturer, who must navigate bureaucratic demands while maintaining academic integrity.</w:t>
      </w:r>
    </w:p>
    <w:p>
      <w:pPr>
        <w:pStyle w:val="BodyText"/>
      </w:pPr>
      <w:r>
        <w:t xml:space="preserve">Moreover, geopolitical factors influence the academic environment in</w:t>
      </w:r>
      <w:r>
        <w:t xml:space="preserve"> </w:t>
      </w:r>
      <w:r>
        <w:rPr>
          <w:bCs/>
          <w:b/>
        </w:rPr>
        <w:t xml:space="preserve">Russia Moscow</w:t>
      </w:r>
      <w:r>
        <w:t xml:space="preserve">. Sanctions and international isolation have prompted a pivot toward domestic and "friendly nation" collaborations. Lecturers are now required to adapt their research agendas to align with national priorities in technology sovereignty, energy efficiency, and social sciences that resonate with non-Western partners. This shifts the epistemological focus of many</w:t>
      </w:r>
      <w:r>
        <w:t xml:space="preserve"> </w:t>
      </w:r>
      <w:r>
        <w:rPr>
          <w:bCs/>
          <w:b/>
        </w:rPr>
        <w:t xml:space="preserve">University Lecturer</w:t>
      </w:r>
      <w:r>
        <w:t xml:space="preserve"> </w:t>
      </w:r>
      <w:r>
        <w:t xml:space="preserve">roles away from purely Western-centric theoretical frameworks.</w:t>
      </w:r>
    </w:p>
    <w:bookmarkEnd w:id="25"/>
    <w:bookmarkStart w:id="26" w:name="challenges-and-professional-development"/>
    <w:p>
      <w:pPr>
        <w:pStyle w:val="Heading2"/>
      </w:pPr>
      <w:r>
        <w:t xml:space="preserve">4. Challenges and Professional Development</w:t>
      </w:r>
    </w:p>
    <w:p>
      <w:pPr>
        <w:pStyle w:val="FirstParagraph"/>
      </w:pPr>
      <w:r>
        <w:t xml:space="preserve">Burnout is a growing concern among academic staff in Moscow. The combination of heavy teaching loads, rigorous research expectations, and administrative duties creates significant psychological strain. In response, several universities in</w:t>
      </w:r>
      <w:r>
        <w:t xml:space="preserve"> </w:t>
      </w:r>
      <w:r>
        <w:rPr>
          <w:bCs/>
          <w:b/>
        </w:rPr>
        <w:t xml:space="preserve">Russia Moscow</w:t>
      </w:r>
      <w:r>
        <w:t xml:space="preserve"> </w:t>
      </w:r>
      <w:r>
        <w:t xml:space="preserve">have begun to establish centers for teaching development and mental health support.</w:t>
      </w:r>
    </w:p>
    <w:p>
      <w:pPr>
        <w:pStyle w:val="BodyText"/>
      </w:pPr>
      <w:r>
        <w:t xml:space="preserve">However, these initiatives are often voluntary and lack systemic enforcement. For many young academics entering the profession as a</w:t>
      </w:r>
      <w:r>
        <w:t xml:space="preserve"> </w:t>
      </w:r>
      <w:r>
        <w:rPr>
          <w:bCs/>
          <w:b/>
        </w:rPr>
        <w:t xml:space="preserve">University Lecturer</w:t>
      </w:r>
      <w:r>
        <w:t xml:space="preserve">, mentorship programs are essential yet inconsistently available. The transition from doctoral student to faculty member remains abrupt, with limited guidance on grant writing, classroom management, or work-life balance.</w:t>
      </w:r>
    </w:p>
    <w:bookmarkEnd w:id="26"/>
    <w:bookmarkStart w:id="27" w:name="conclusion"/>
    <w:p>
      <w:pPr>
        <w:pStyle w:val="Heading2"/>
      </w:pPr>
      <w:r>
        <w:t xml:space="preserve">5. Conclusion</w:t>
      </w:r>
    </w:p>
    <w:p>
      <w:pPr>
        <w:pStyle w:val="FirstParagraph"/>
      </w:pPr>
      <w:r>
        <w:t xml:space="preserve">The role of the university lecturer in Moscow is undergoing a profound redefinition. No longer solely custodians of knowledge within their disciplines, they are now dynamic agents of educational reform and national innovation. The specific context of</w:t>
      </w:r>
      <w:r>
        <w:t xml:space="preserve"> </w:t>
      </w:r>
      <w:r>
        <w:rPr>
          <w:bCs/>
          <w:b/>
        </w:rPr>
        <w:t xml:space="preserve">Russia Moscow</w:t>
      </w:r>
      <w:r>
        <w:t xml:space="preserve"> </w:t>
      </w:r>
      <w:r>
        <w:t xml:space="preserve">offers unique opportunities for high-level collaboration but also imposes intense competitive pressures.</w:t>
      </w:r>
    </w:p>
    <w:p>
      <w:pPr>
        <w:pStyle w:val="BodyText"/>
      </w:pPr>
      <w:r>
        <w:t xml:space="preserve">To sustain the quality of higher education in the region, it is imperative that institutions provide robust support systems for their faculty. This includes fair workload distribution, meaningful professional development pathways, and recognition of teaching excellence alongside research output. Only by addressing these structural challenges can the</w:t>
      </w:r>
      <w:r>
        <w:t xml:space="preserve"> </w:t>
      </w:r>
      <w:r>
        <w:rPr>
          <w:bCs/>
          <w:b/>
        </w:rPr>
        <w:t xml:space="preserve">University Lecturer</w:t>
      </w:r>
      <w:r>
        <w:t xml:space="preserve"> </w:t>
      </w:r>
      <w:r>
        <w:t xml:space="preserve">thrive in</w:t>
      </w:r>
      <w:r>
        <w:t xml:space="preserve"> </w:t>
      </w:r>
      <w:r>
        <w:rPr>
          <w:bCs/>
          <w:b/>
        </w:rPr>
        <w:t xml:space="preserve">Russia Moscow</w:t>
      </w:r>
      <w:r>
        <w:t xml:space="preserve">, fulfilling their critical mission of educating the next generation while contributing to global knowledge production.</w:t>
      </w:r>
    </w:p>
    <w:bookmarkEnd w:id="27"/>
    <w:bookmarkStart w:id="28" w:name="references"/>
    <w:p>
      <w:pPr>
        <w:pStyle w:val="Heading2"/>
      </w:pPr>
      <w:r>
        <w:t xml:space="preserve">References</w:t>
      </w:r>
    </w:p>
    <w:p>
      <w:pPr>
        <w:pStyle w:val="FirstParagraph"/>
      </w:pPr>
      <w:r>
        <w:t xml:space="preserve">[1] Ministry of Science and Higher Education of the Russian Federation. (2023). *Annual Report on the State of Higher Education in Russia*. Moscow: Minsobnauki.</w:t>
      </w:r>
    </w:p>
    <w:p>
      <w:pPr>
        <w:pStyle w:val="BodyText"/>
      </w:pPr>
      <w:r>
        <w:t xml:space="preserve">[2] Golovanova, T., et al. (2021). "The Bologna Process in Russia: Retrospective and Prospects." *Higher Education Policy*, 34(2), 315-340.</w:t>
      </w:r>
    </w:p>
    <w:p>
      <w:pPr>
        <w:pStyle w:val="BodyText"/>
      </w:pPr>
      <w:r>
        <w:t xml:space="preserve">[3] Kuznetsov, A. (2022). "Digital Transformation of Pedagogy in Moscow Universities." *Journal of Russian Higher Education*, 15(4), 88-102.</w:t>
      </w:r>
    </w:p>
    <w:p>
      <w:pPr>
        <w:pStyle w:val="BodyText"/>
      </w:pPr>
      <w:r>
        <w:t xml:space="preserve">[4] Sheshko, O., &amp; Jones, C. (2019). "Academic Staff Satisfaction and Retention in Russia: A Comparative Study." *Studies in Higher Education*, 44(6), 1056-1070.</w:t>
      </w:r>
    </w:p>
    <w:p>
      <w:pPr>
        <w:pStyle w:val="BodyText"/>
      </w:pPr>
      <w:r>
        <w:t xml:space="preserve">[5] Volobuyev, V., &amp; Gokhberg, L. (2020). "Research Productivity and Institutional Performance in Moscow's Elite Universities." *Russian Sociological Review*, 19(3),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Research Dynamics of the University Lecturer in Contemporary Moscow: A Case Study of Institutional Evolution</dc:title>
  <dc:creator/>
  <dc:language>en</dc:language>
  <cp:keywords/>
  <dcterms:created xsi:type="dcterms:W3CDTF">2026-07-29T11:52:32Z</dcterms:created>
  <dcterms:modified xsi:type="dcterms:W3CDTF">2026-07-29T11:52:32Z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