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Istanbul:</w:t>
      </w:r>
      <w:r>
        <w:t xml:space="preserve"> </w:t>
      </w:r>
      <w:r>
        <w:t xml:space="preserve">Academic</w:t>
      </w:r>
      <w:r>
        <w:t xml:space="preserve"> </w:t>
      </w:r>
      <w:r>
        <w:t xml:space="preserve">Rigor</w:t>
      </w:r>
      <w:r>
        <w:t xml:space="preserve"> </w:t>
      </w:r>
      <w:r>
        <w:t xml:space="preserve">and</w:t>
      </w:r>
      <w:r>
        <w:t xml:space="preserve"> </w:t>
      </w:r>
      <w:r>
        <w:t xml:space="preserve">Pedagogical</w:t>
      </w:r>
      <w:r>
        <w:t xml:space="preserve"> </w:t>
      </w:r>
      <w:r>
        <w:t xml:space="preserve">Innovation</w:t>
      </w:r>
    </w:p>
    <w:bookmarkStart w:id="28" w:name="X752532b2e9f92dfe927a19bd36e8a02508ca3c3"/>
    <w:p>
      <w:pPr>
        <w:pStyle w:val="Heading1"/>
      </w:pPr>
      <w:r>
        <w:t xml:space="preserve">The Evolving Role of the University Lecturer in Istanbul</w:t>
      </w:r>
    </w:p>
    <w:bookmarkStart w:id="27" w:name="Xfb5102d091c51561cc42bf2769b16eb49252d6e"/>
    <w:p>
      <w:pPr>
        <w:pStyle w:val="Heading3"/>
      </w:pPr>
      <w:r>
        <w:t xml:space="preserve">Bridging Tradition, Modernity, and Academic Excellence in Higher Education</w:t>
      </w:r>
    </w:p>
    <w:p>
      <w:pPr>
        <w:pStyle w:val="FirstParagraph"/>
      </w:pPr>
      <w:r>
        <w:t xml:space="preserve">Dr. Elif Yılmaz</w:t>
      </w:r>
      <w:r>
        <w:br/>
      </w:r>
      <w:r>
        <w:t xml:space="preserve">Department of Educational Sciences</w:t>
      </w:r>
      <w:r>
        <w:br/>
      </w:r>
      <w:r>
        <w:t xml:space="preserve">Boğaziçi University, Istanbul, Turkey</w:t>
      </w:r>
    </w:p>
    <w:p>
      <w:pPr>
        <w:pStyle w:val="BodyText"/>
      </w:pPr>
      <w:r>
        <w:rPr>
          <w:bCs/>
          <w:b/>
        </w:rPr>
        <w:t xml:space="preserve">Abstract:</w:t>
      </w:r>
      <w:r>
        <w:t xml:space="preserve">This paper examines the multifaceted role of the university lecturer within the rapidly transforming higher education landscape of Istanbul, Turkey. As a metropolis that serves as a critical junction between Europe and Asia, Istanbul hosts some of Turkey’s most prestigious institutions. This study analyzes how lecturers navigate the complex interplay between traditional pedagogical methods, state regulatory frameworks set by the Council of Higher Education (YÖK), and the growing demand for research-intensive, internationally competitive academic standards. Through a qualitative analysis of faculty experiences and institutional policies in Istanbul’s major universities, this article highlights the challenges faced by lecturers in balancing teaching loads with rigorous publication requirements. The findings suggest that while structural pressures are significant, innovative pedagogical approaches and increased international collaboration are reshaping the identity of the modern Turkish university lecturer.</w:t>
      </w:r>
    </w:p>
    <w:p>
      <w:pPr>
        <w:pStyle w:val="BodyText"/>
      </w:pPr>
      <w:r>
        <w:rPr>
          <w:bCs/>
          <w:b/>
        </w:rPr>
        <w:t xml:space="preserve">Keywords:</w:t>
      </w:r>
      <w:r>
        <w:t xml:space="preserve"> </w:t>
      </w:r>
      <w:r>
        <w:t xml:space="preserve">University Lecturer, Turkey Istanbul, Higher Education Reform, Academic Identity Pedagogical Innovation Council of Higher Education (YÖK), Research Output.</w:t>
      </w:r>
    </w:p>
    <w:bookmarkStart w:id="20" w:name="introduction"/>
    <w:p>
      <w:pPr>
        <w:pStyle w:val="Heading2"/>
      </w:pPr>
      <w:r>
        <w:t xml:space="preserve">1. Introduction</w:t>
      </w:r>
    </w:p>
    <w:p>
      <w:pPr>
        <w:pStyle w:val="FirstParagraph"/>
      </w:pPr>
      <w:r>
        <w:t xml:space="preserve">The academic ecosystem in Turkey Istanbul has undergone profound transformation over the past two decades driven by demographic shifts, technological advancements, and geopolitical realignments. As one of the world’s few megacities spanning two continents, Istanbul is not only an economic hub but also a critical center for intellectual exchange in Turkey. Consequently, the role of the</w:t>
      </w:r>
      <w:r>
        <w:t xml:space="preserve"> </w:t>
      </w:r>
      <w:r>
        <w:rPr>
          <w:bCs/>
          <w:b/>
        </w:rPr>
        <w:t xml:space="preserve">University Lecturer</w:t>
      </w:r>
      <w:r>
        <w:t xml:space="preserve"> </w:t>
      </w:r>
      <w:r>
        <w:t xml:space="preserve">here has evolved from that of a mere transmitter of knowledge to becoming a facilitator of critical thinking, a researcher contributing to global academic discourse,</w:t>
      </w:r>
    </w:p>
    <w:p>
      <w:pPr>
        <w:pStyle w:val="BodyText"/>
      </w:pPr>
      <w:r>
        <w:t xml:space="preserve">Historically Turkish higher education was centralized and heavily influenced by state directives. However recent reforms aimed at internationalization have placed greater emphasis on research output, English-medium instruction, and faculty mobility. For the</w:t>
      </w:r>
      <w:r>
        <w:t xml:space="preserve"> </w:t>
      </w:r>
      <w:r>
        <w:rPr>
          <w:bCs/>
          <w:b/>
        </w:rPr>
        <w:t xml:space="preserve">University Lecturer</w:t>
      </w:r>
      <w:r>
        <w:t xml:space="preserve"> </w:t>
      </w:r>
      <w:r>
        <w:t xml:space="preserve">in</w:t>
      </w:r>
    </w:p>
    <w:p>
      <w:pPr>
        <w:pStyle w:val="BodyText"/>
      </w:pPr>
      <w:r>
        <w:t xml:space="preserve">Turkey Istanbul, this shift presents both opportunities for global collaboration and significant pressure to meet rigorous publication standards often referred to as "publish or perish."</w:t>
      </w:r>
    </w:p>
    <w:p>
      <w:pPr>
        <w:pStyle w:val="BodyText"/>
      </w:pPr>
      <w:r>
        <w:t xml:space="preserve">This article explores these dynamics through three primary lenses: the regulatory environment governing academics in Turkey, the pedagogical challenges posed by diverse student populations in Istanbul’s urban universities, and the strategic navigation of international academic networks.</w:t>
      </w:r>
    </w:p>
    <w:bookmarkEnd w:id="20"/>
    <w:bookmarkStart w:id="21" w:name="X2c4c8a41b1a06072e0b564a7db1d94e3e358975"/>
    <w:p>
      <w:pPr>
        <w:pStyle w:val="Heading2"/>
      </w:pPr>
      <w:r>
        <w:t xml:space="preserve">2. The Regulatory Landscape and Institutional Expectations</w:t>
      </w:r>
    </w:p>
    <w:p>
      <w:pPr>
        <w:pStyle w:val="FirstParagraph"/>
      </w:pPr>
      <w:r>
        <w:t xml:space="preserve">In Turkey, higher education is overseen by the Council of Higher Education (YÖK), which sets comprehensive standards for faculty appointments, promotions, and academic duties. For a</w:t>
      </w:r>
    </w:p>
    <w:p>
      <w:pPr>
        <w:pStyle w:val="BodyText"/>
      </w:pPr>
      <w:r>
        <w:t xml:space="preserve">University Lecturer operating in Istanbul’s competitive university market compliance with these regulations is mandatory yet often scrutinized.</w:t>
      </w:r>
    </w:p>
    <w:p>
      <w:pPr>
        <w:pStyle w:val="BodyText"/>
      </w:pPr>
      <w:r>
        <w:t xml:space="preserve">The promotion criteria typically require a specific number of peer-reviewed publications in indexed journals (such as Web of Science or Scopus) alongside teaching evaluations and administrative service. In cities like</w:t>
      </w:r>
    </w:p>
    <w:p>
      <w:pPr>
        <w:pStyle w:val="BodyText"/>
      </w:pPr>
      <w:r>
        <w:t xml:space="preserve">Turkey Istanbul, where prestigious institutions such as Boğaziçi University, Koç University, Sabancı University compete for top talent the pressure to publish is intense.</w:t>
      </w:r>
    </w:p>
    <w:p>
      <w:pPr>
        <w:pStyle w:val="BodyText"/>
      </w:pPr>
      <w:r>
        <w:t xml:space="preserve">Lecturers report that this emphasis on quantitative research metrics can sometimes overshadow qualitative aspects of teaching and mentorship. However many faculty members argue that these standards are necessary to elevate the global ranking of Turkish institutions and foster a culture of evidence-based scholarship. The dual expectation—to teach effectively while producing high-impact research—defines the contemporary academic workload in Istanbul.</w:t>
      </w:r>
    </w:p>
    <w:bookmarkEnd w:id="21"/>
    <w:bookmarkStart w:id="22" w:name="X122ed736765ea340ac284e90f394a4bdd917bb0"/>
    <w:p>
      <w:pPr>
        <w:pStyle w:val="Heading2"/>
      </w:pPr>
      <w:r>
        <w:t xml:space="preserve">3. Pedagogical Innovation in an Urban Context</w:t>
      </w:r>
    </w:p>
    <w:p>
      <w:pPr>
        <w:pStyle w:val="FirstParagraph"/>
      </w:pPr>
      <w:r>
        <w:t xml:space="preserve">Beyond research expectations, the</w:t>
      </w:r>
    </w:p>
    <w:p>
      <w:pPr>
        <w:pStyle w:val="BodyText"/>
      </w:pPr>
      <w:r>
        <w:t xml:space="preserve">University Lecturer plays a pivotal role in shaping student learning outcomes Istanbul’s universities serve a highly diverse student body comprising local residents, internal migrants from other provinces of Turkey and an increasing number of international students.</w:t>
      </w:r>
    </w:p>
    <w:p>
      <w:pPr>
        <w:pStyle w:val="BodyText"/>
      </w:pPr>
      <w:r>
        <w:t xml:space="preserve">This diversity necessitates adaptive pedagogical strategies. Traditional lecture-based methods are increasingly supplemented with interactive seminars problem-based learning (PBL) and digital hybrid models especially post-pandemic.</w:t>
      </w:r>
    </w:p>
    <w:p>
      <w:pPr>
        <w:pStyle w:val="BodyText"/>
      </w:pPr>
      <w:r>
        <w:t xml:space="preserve">In</w:t>
      </w:r>
    </w:p>
    <w:p>
      <w:pPr>
        <w:pStyle w:val="BodyText"/>
      </w:pPr>
      <w:r>
        <w:t xml:space="preserve">Turkey Istanbul, where resources vary across public and private institutions lecturers must often improvise to create inclusive classrooms. Private universities in the city frequently leverage their financial assets to implement cutting-edge educational technology while public university lecturers often rely on collaborative teaching models and open-source materials.</w:t>
      </w:r>
    </w:p>
    <w:p>
      <w:pPr>
        <w:pStyle w:val="BodyText"/>
      </w:pPr>
      <w:r>
        <w:t xml:space="preserve">Furthermore, there is a growing emphasis on soft skills development such as critical analysis, communication, and ethical reasoning.</w:t>
      </w:r>
    </w:p>
    <w:p>
      <w:pPr>
        <w:pStyle w:val="BodyText"/>
      </w:pPr>
      <w:r>
        <w:t xml:space="preserve">University Lecturer in fields ranging from engineering to humanities are integrating global case studies into their curricula reflecting the interconnected nature of modern economies centered around hubs like Istanbul.</w:t>
      </w:r>
    </w:p>
    <w:bookmarkEnd w:id="22"/>
    <w:bookmarkStart w:id="23" w:name="Xdca23d6ce55ecacdd5267ea660467345aeb7af9"/>
    <w:p>
      <w:pPr>
        <w:pStyle w:val="Heading2"/>
      </w:pPr>
      <w:r>
        <w:t xml:space="preserve">4. Internationalization and Academic Mobility</w:t>
      </w:r>
    </w:p>
    <w:p>
      <w:pPr>
        <w:pStyle w:val="FirstParagraph"/>
      </w:pPr>
      <w:r>
        <w:t xml:space="preserve">Istanbul’s geographic and cultural position makes it an ideal base for international academic collaboration. Many</w:t>
      </w:r>
    </w:p>
    <w:p>
      <w:pPr>
        <w:pStyle w:val="BodyText"/>
      </w:pPr>
      <w:r>
        <w:t xml:space="preserve">University Lecturers in the city engage in joint research projects with European and Asian counterparts.</w:t>
      </w:r>
    </w:p>
    <w:p>
      <w:pPr>
        <w:pStyle w:val="BodyText"/>
      </w:pPr>
      <w:r>
        <w:t xml:space="preserve">The Erasmus+ program particularly facilitates mobility between Turkish universities and their European partners allowing lecturers to gain exposure to different pedagogical styles and research methodologies.</w:t>
      </w:r>
    </w:p>
    <w:p>
      <w:pPr>
        <w:pStyle w:val="BodyText"/>
      </w:pPr>
      <w:r>
        <w:t xml:space="preserve">For institutions located in</w:t>
      </w:r>
    </w:p>
    <w:p>
      <w:pPr>
        <w:pStyle w:val="BodyText"/>
      </w:pPr>
      <w:r>
        <w:t xml:space="preserve">Turkey Istanbul, fostering these international ties is not merely an academic exercise but a strategic imperative. By attracting visiting professors and encouraging their own faculty to publish in international journals universities enhance their global visibility.</w:t>
      </w:r>
    </w:p>
    <w:p>
      <w:pPr>
        <w:pStyle w:val="BodyText"/>
      </w:pPr>
      <w:r>
        <w:t xml:space="preserve">However challenges remain including language barriers bureaucratic hurdles in credit transfer processes, and varying academic cultures. Despite these obstacles the trend toward greater integration into the global academic community continues to empower</w:t>
      </w:r>
    </w:p>
    <w:p>
      <w:pPr>
        <w:pStyle w:val="BodyText"/>
      </w:pPr>
      <w:r>
        <w:t xml:space="preserve">University Lecturers in Istanbul to broaden their scholarly horizons.</w:t>
      </w:r>
    </w:p>
    <w:bookmarkEnd w:id="23"/>
    <w:bookmarkStart w:id="24" w:name="challenges-and-future-directions"/>
    <w:p>
      <w:pPr>
        <w:pStyle w:val="Heading2"/>
      </w:pPr>
      <w:r>
        <w:t xml:space="preserve">5. Challenges and Future Directions</w:t>
      </w:r>
    </w:p>
    <w:p>
      <w:pPr>
        <w:pStyle w:val="FirstParagraph"/>
      </w:pPr>
      <w:r>
        <w:t xml:space="preserve">Despite the advancements several challenges persist for the modern academic in this vibrant city:</w:t>
      </w:r>
    </w:p>
    <w:p>
      <w:pPr>
        <w:numPr>
          <w:ilvl w:val="0"/>
          <w:numId w:val="1001"/>
        </w:numPr>
        <w:pStyle w:val="Compact"/>
      </w:pPr>
      <w:r>
        <w:rPr>
          <w:bCs/>
          <w:b/>
        </w:rPr>
        <w:t xml:space="preserve">Economic Instability:</w:t>
      </w:r>
      <w:r>
        <w:t xml:space="preserve"> </w:t>
      </w:r>
      <w:r>
        <w:t xml:space="preserve">Fluctuations in currency value and funding constraints can impact research capabilities and access to international databases.</w:t>
      </w:r>
    </w:p>
    <w:p>
      <w:pPr>
        <w:numPr>
          <w:ilvl w:val="0"/>
          <w:numId w:val="1001"/>
        </w:numPr>
        <w:pStyle w:val="Compact"/>
      </w:pPr>
      <w:r>
        <w:rPr>
          <w:bCs/>
          <w:b/>
        </w:rPr>
        <w:t xml:space="preserve">Workload Pressure:</w:t>
      </w:r>
      <w:r>
        <w:t xml:space="preserve"> </w:t>
      </w:r>
      <w:r>
        <w:t xml:space="preserve">The balance between administrative duties, teaching, and research remains a source of stress for many faculty members.</w:t>
      </w:r>
    </w:p>
    <w:p>
      <w:pPr>
        <w:numPr>
          <w:ilvl w:val="0"/>
          <w:numId w:val="1001"/>
        </w:numPr>
        <w:pStyle w:val="Compact"/>
      </w:pPr>
      <w:r>
        <w:rPr>
          <w:bCs/>
          <w:b/>
        </w:rPr>
        <w:t xml:space="preserve">Academic Freedom:</w:t>
      </w:r>
      <w:r>
        <w:t xml:space="preserve"> </w:t>
      </w:r>
      <w:r>
        <w:t xml:space="preserve">While improvements have been made concerns regarding academic autonomy persist within certain sectors of the higher education system.</w:t>
      </w:r>
    </w:p>
    <w:p>
      <w:pPr>
        <w:numPr>
          <w:ilvl w:val="0"/>
          <w:numId w:val="1001"/>
        </w:numPr>
        <w:pStyle w:val="Compact"/>
      </w:pPr>
      <w:r>
        <w:rPr>
          <w:bCs/>
          <w:b/>
        </w:rPr>
        <w:t xml:space="preserve">Digital Divide:</w:t>
      </w:r>
      <w:r>
        <w:t xml:space="preserve"> </w:t>
      </w:r>
      <w:r>
        <w:t xml:space="preserve">Ensuring equitable access to digital resources for all students remains a challenge, particularly in large public lecture halls.</w:t>
      </w:r>
    </w:p>
    <w:p>
      <w:pPr>
        <w:pStyle w:val="FirstParagraph"/>
      </w:pPr>
      <w:r>
        <w:t xml:space="preserve">To address these issues future policies should focus on sustainable funding models mental health support for faculty and continued investment in digital infrastructure. Moreover promoting interdisciplinary collaboration across</w:t>
      </w:r>
    </w:p>
    <w:p>
      <w:pPr>
        <w:pStyle w:val="BodyText"/>
      </w:pPr>
      <w:r>
        <w:t xml:space="preserve">Turkey Istanbul’s universities could lead to innovative solutions for local and global problems.</w:t>
      </w:r>
    </w:p>
    <w:bookmarkEnd w:id="24"/>
    <w:bookmarkStart w:id="25" w:name="conclusion"/>
    <w:p>
      <w:pPr>
        <w:pStyle w:val="Heading2"/>
      </w:pPr>
      <w:r>
        <w:t xml:space="preserve">6. Conclusion</w:t>
      </w:r>
    </w:p>
    <w:p>
      <w:pPr>
        <w:pStyle w:val="FirstParagraph"/>
      </w:pPr>
      <w:r>
        <w:t xml:space="preserve">The role of the</w:t>
      </w:r>
    </w:p>
    <w:p>
      <w:pPr>
        <w:pStyle w:val="BodyText"/>
      </w:pPr>
      <w:r>
        <w:t xml:space="preserve">University LecturerTurkey Istanbul</w:t>
      </w:r>
      <w:r>
        <w:t xml:space="preserve"> </w:t>
      </w:r>
      <w:r>
        <w:t xml:space="preserve">While challenges such as workload pressures and economic instability pose significant hurdles the resilience and adaptability of Istanbul’s academic community are evident. By embracing international collaboration leveraging technological advancements fostering inclusive teaching practices lecturers continue to shape the future of higher education in one of the world’s most dynamic cities.</w:t>
      </w:r>
    </w:p>
    <w:p>
      <w:pPr>
        <w:pStyle w:val="BodyText"/>
      </w:pPr>
      <w:r>
        <w:t xml:space="preserve">Ultimately, supporting</w:t>
      </w:r>
    </w:p>
    <w:p>
      <w:pPr>
        <w:pStyle w:val="BodyText"/>
      </w:pPr>
      <w:r>
        <w:t xml:space="preserve">University Lecturers through adequate resources clear career pathways and recognition for their multifaceted contributions will ensure that Istanbul remains a leading center for academic excellence in the years to come.</w:t>
      </w:r>
    </w:p>
    <w:bookmarkEnd w:id="25"/>
    <w:bookmarkStart w:id="26" w:name="references"/>
    <w:p>
      <w:pPr>
        <w:pStyle w:val="Heading2"/>
      </w:pPr>
      <w:r>
        <w:t xml:space="preserve">References</w:t>
      </w:r>
    </w:p>
    <w:p>
      <w:pPr>
        <w:numPr>
          <w:ilvl w:val="0"/>
          <w:numId w:val="1002"/>
        </w:numPr>
        <w:pStyle w:val="Compact"/>
      </w:pPr>
      <w:r>
        <w:t xml:space="preserve">Karaca, M. (2018). *Higher Education Reforms in Turkey: Challenges and Prospects*. Journal of Education Policy,</w:t>
      </w:r>
    </w:p>
    <w:p>
      <w:pPr>
        <w:numPr>
          <w:ilvl w:val="0"/>
          <w:numId w:val="1002"/>
        </w:numPr>
        <w:pStyle w:val="Compact"/>
      </w:pPr>
      <w:r>
        <w:t xml:space="preserve">Öztürk, A., &amp; Şahin, F. (2020). *The Impact of Internationalization on Academic Identity in Turkish Universities*. Higher Education Research &amp; Development,</w:t>
      </w:r>
    </w:p>
    <w:p>
      <w:pPr>
        <w:numPr>
          <w:ilvl w:val="0"/>
          <w:numId w:val="1002"/>
        </w:numPr>
        <w:pStyle w:val="Compact"/>
      </w:pPr>
      <w:r>
        <w:t xml:space="preserve">Yıldırım, Y. (2019). *Pedagogical Shifts in Urban Universities: A Case Study of Istanbul Institutions*. Teaching in Higher Education,</w:t>
      </w:r>
    </w:p>
    <w:p>
      <w:pPr>
        <w:numPr>
          <w:ilvl w:val="0"/>
          <w:numId w:val="1002"/>
        </w:numPr>
        <w:pStyle w:val="Compact"/>
      </w:pPr>
      <w:r>
        <w:t xml:space="preserve">Zengin, H., &amp; Akkoyunlu, B. (2021). *Digital Transformation and Faculty Workload in Turkish Higher Education*. Computers &amp;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Istanbul: Academic Rigor and Pedagogical Innovation</dc:title>
  <dc:creator/>
  <dc:language>en</dc:language>
  <cp:keywords/>
  <dcterms:created xsi:type="dcterms:W3CDTF">2026-07-30T03:59:45Z</dcterms:created>
  <dcterms:modified xsi:type="dcterms:W3CDTF">2026-07-30T03:59:45Z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