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Tashkent:</w:t>
      </w:r>
      <w:r>
        <w:t xml:space="preserve"> </w:t>
      </w:r>
      <w:r>
        <w:t xml:space="preserve">Academic</w:t>
      </w:r>
      <w:r>
        <w:t xml:space="preserve"> </w:t>
      </w:r>
      <w:r>
        <w:t xml:space="preserve">Rigor</w:t>
      </w:r>
      <w:r>
        <w:t xml:space="preserve"> </w:t>
      </w:r>
      <w:r>
        <w:t xml:space="preserve">and</w:t>
      </w:r>
      <w:r>
        <w:t xml:space="preserve"> </w:t>
      </w:r>
      <w:r>
        <w:t xml:space="preserve">Institutional</w:t>
      </w:r>
      <w:r>
        <w:t xml:space="preserve"> </w:t>
      </w:r>
      <w:r>
        <w:t xml:space="preserve">Modernization</w:t>
      </w:r>
    </w:p>
    <w:bookmarkStart w:id="31" w:name="Xb09565a643973a96b115d74f97a19255d61be7a"/>
    <w:p>
      <w:pPr>
        <w:pStyle w:val="Heading1"/>
      </w:pPr>
      <w:r>
        <w:t xml:space="preserve">The Evolving Role of the University Lecturer in Tashkent: Academic Rigor and Institutional Modernization</w:t>
      </w:r>
    </w:p>
    <w:p>
      <w:pPr>
        <w:pStyle w:val="FirstParagraph"/>
      </w:pPr>
      <w:r>
        <w:rPr>
          <w:bCs/>
          <w:b/>
        </w:rPr>
        <w:t xml:space="preserve">Dr. Alisher Karimov</w:t>
      </w:r>
      <w:r>
        <w:br/>
      </w:r>
      <w:r>
        <w:t xml:space="preserve">Department of Higher Education Studies, National University of Uzbekistan, Tashkent</w:t>
      </w:r>
      <w:r>
        <w:br/>
      </w:r>
      <w:r>
        <w:rPr>
          <w:iCs/>
          <w:i/>
        </w:rPr>
        <w:t xml:space="preserve">E-mail: a.karimov@nuuz.uz</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multifaceted role of the university lecturer in Uzbekistan, with a specific focus on the capital city, Tashkent. As Uzbekistan undergoes significant higher education reforms aimed at internationalization and quality assurance, the traditional paradigm of teaching is being challenged and reshaped. This paper explores how university lecturers in Tashkent are adapting to new pedagogical standards, research expectations, and administrative demands. By analyzing current trends in faculty development, curriculum implementation of the Bologna Process compatible structures in Uzbekistan Tashkent institutions become critical sites for understanding broader educational transformation. The study argues that the modern university lecturer must transcend traditional instruction to become a facilitator of critical thinking, a researcher contributing to global knowledge, and an agent of institutional change.</w:t>
      </w:r>
    </w:p>
    <w:bookmarkEnd w:id="20"/>
    <w:bookmarkStart w:id="21" w:name="introduction"/>
    <w:p>
      <w:pPr>
        <w:pStyle w:val="Heading2"/>
      </w:pPr>
      <w:r>
        <w:t xml:space="preserve">Introduction</w:t>
      </w:r>
    </w:p>
    <w:p>
      <w:pPr>
        <w:pStyle w:val="FirstParagraph"/>
      </w:pPr>
      <w:r>
        <w:t xml:space="preserve">The higher education landscape in Central Asia has experienced profound shifts over the past two decades. Nowhere is this more evident than in Tashkent, the cultural and academic heart of Uzbekistan. The city hosts several premier institutions of higher learning, including the National University of Uzbekistan (NUU), Tashkent State University of Law (TSUL), and various specialized technical universities. Within these institutions, the university lecturer serves as the primary interface between institutional policy and student learning outcomes.</w:t>
      </w:r>
    </w:p>
    <w:p>
      <w:pPr>
        <w:pStyle w:val="BodyText"/>
      </w:pPr>
      <w:r>
        <w:t xml:space="preserve">Historically, the role of an academic in Soviet-era institutions was heavily defined by subject mastery and rigid pedagogical structures. However, following independence, Uzbekistan has initiated a series of reforms to align its higher education system with international standards. These reforms emphasize research output, student-centered learning methods, and international collaboration. Consequently, the definition of a successful university lecturer has expanded significantly. Today’s academic in Tashkent is expected not only to deliver lectures but also to engage in impactful research, participate in community service, and mentor students through complex career pathways.</w:t>
      </w:r>
    </w:p>
    <w:p>
      <w:pPr>
        <w:pStyle w:val="BodyText"/>
      </w:pPr>
      <w:r>
        <w:t xml:space="preserve">This article aims to analyze these evolving responsibilities. It posits that the effectiveness of higher education reform in Uzbekistan Tashkent is directly correlated with the capacity and support provided to its university lecturer workforce. Without addressing the professional development needs of faculty members, structural reforms risk remaining superficial.</w:t>
      </w:r>
    </w:p>
    <w:bookmarkEnd w:id="21"/>
    <w:bookmarkStart w:id="22" w:name="historical-context-and-recent-reforms"/>
    <w:p>
      <w:pPr>
        <w:pStyle w:val="Heading2"/>
      </w:pPr>
      <w:r>
        <w:t xml:space="preserve">Historical Context and Recent Reforms</w:t>
      </w:r>
    </w:p>
    <w:p>
      <w:pPr>
        <w:pStyle w:val="FirstParagraph"/>
      </w:pPr>
      <w:r>
        <w:t xml:space="preserve">To understand the current role of the university lecturer, one must contextualize it within Uzbekistan’s educational history. The Soviet model prioritized uniformity and ideological conformity. While this produced highly qualified specialists in specific technical fields, it often lacked flexibility and critical inquiry components. Post-1991 reforms introduced greater autonomy, but significant momentum for change accelerated around 2017 with the adoption of new strategies for developing higher education.</w:t>
      </w:r>
    </w:p>
    <w:p>
      <w:pPr>
        <w:pStyle w:val="BodyText"/>
      </w:pPr>
      <w:r>
        <w:t xml:space="preserve">A key component of these modernization efforts is the credit-based module system, which mirrors European standards. This shift requires university lecturers to alter their teaching methodologies fundamentally. Instead of relying solely on didactic lectures, academics must employ seminars, project-based learning, and continuous assessment mechanisms. In Tashkent’s universities, this transition has been challenging yet rewarding for many faculty members who have embraced international pedagogical practices.</w:t>
      </w:r>
    </w:p>
    <w:bookmarkEnd w:id="22"/>
    <w:bookmarkStart w:id="26" w:name="X996334e3e60ded389949217b6fdb3b595468486"/>
    <w:p>
      <w:pPr>
        <w:pStyle w:val="Heading2"/>
      </w:pPr>
      <w:r>
        <w:t xml:space="preserve">The Tripartite Role: Teaching, Research, and Service</w:t>
      </w:r>
    </w:p>
    <w:bookmarkStart w:id="23" w:name="X744d8e0a560a9c7c9aaaffd835610453362cef6"/>
    <w:p>
      <w:pPr>
        <w:pStyle w:val="Heading3"/>
      </w:pPr>
      <w:r>
        <w:t xml:space="preserve">1. Pedagogical Innovation and Student-Centered Learning</w:t>
      </w:r>
    </w:p>
    <w:p>
      <w:pPr>
        <w:pStyle w:val="FirstParagraph"/>
      </w:pPr>
      <w:r>
        <w:t xml:space="preserve">The primary responsibility of any university lecturer remains teaching. However, in the contemporary context of Tashkent’s higher education sector, this role has evolved into that of a facilitator. Modern classrooms in Uzbekistan increasingly feature interactive technologies and hybrid learning models. University lecturers are tasked with designing curricula that foster critical thinking rather than rote memorization.</w:t>
      </w:r>
    </w:p>
    <w:p>
      <w:pPr>
        <w:pStyle w:val="BodyText"/>
      </w:pPr>
      <w:r>
        <w:t xml:space="preserve">Furthermore, there is a growing emphasis on soft skills development—communication, teamwork, and problem-solving. Lecturers in Tashkent are now expected to integrate these competencies into their disciplinary content. For instance, an engineering lecturer may not only teach thermodynamics but also guide students through team-based design projects that simulate real-world industry challenges. This shift requires substantial investment in training university lecturers on modern teaching methodologies.</w:t>
      </w:r>
    </w:p>
    <w:bookmarkEnd w:id="23"/>
    <w:bookmarkStart w:id="24" w:name="research-and-global-engagement"/>
    <w:p>
      <w:pPr>
        <w:pStyle w:val="Heading3"/>
      </w:pPr>
      <w:r>
        <w:t xml:space="preserve">2. Research and Global Engagement</w:t>
      </w:r>
    </w:p>
    <w:p>
      <w:pPr>
        <w:pStyle w:val="FirstParagraph"/>
      </w:pPr>
      <w:r>
        <w:t xml:space="preserve">The second pillar of the contemporary academic role is research. Uzbekistan has set ambitious goals to increase its output in international indexed journals (such as Web of Science and Scopus). This directive places new pressure on university lecturers, who are now evaluated partially based on their publication records.</w:t>
      </w:r>
    </w:p>
    <w:p>
      <w:pPr>
        <w:pStyle w:val="BodyText"/>
      </w:pPr>
      <w:r>
        <w:t xml:space="preserve">In Tashkent, this has led to the establishment of research centers within universities. University lecturers are encouraged to form collaborative teams, both domestically and internationally. However, disparities remain between established senior faculty and younger academics regarding access to resources and mentorship. Bridging this gap is crucial for ensuring equitable opportunities for all university lecturer staff in Uzbekistan Tashkent institutions.</w:t>
      </w:r>
    </w:p>
    <w:bookmarkEnd w:id="24"/>
    <w:bookmarkStart w:id="25" w:name="community-service-and-industry-liaison"/>
    <w:p>
      <w:pPr>
        <w:pStyle w:val="Heading3"/>
      </w:pPr>
      <w:r>
        <w:t xml:space="preserve">3. Community Service and Industry Liaison</w:t>
      </w:r>
    </w:p>
    <w:p>
      <w:pPr>
        <w:pStyle w:val="FirstParagraph"/>
      </w:pPr>
      <w:r>
        <w:t xml:space="preserve">The third, often overlooked aspect of the academic role is service to society. In Tashkent, universities are increasingly viewed as engines of local economic development. University lecturers play a vital role in consulting for local businesses, advising government policy on educational matters, and engaging in public intellectual debates.</w:t>
      </w:r>
    </w:p>
    <w:p>
      <w:pPr>
        <w:pStyle w:val="BodyText"/>
      </w:pPr>
      <w:r>
        <w:t xml:space="preserve">This dimension of the job requires academics to step out of the ivory tower and engage with stakeholders. For example, law faculty members may provide pro bono legal aid or advise legislative bodies on new codes. Meanwhile, business school lecturers might consult for startups emerging from university incubators. These activities enhance the relevance of higher education in Tashkent and demonstrate its tangible impact on national development.</w:t>
      </w:r>
    </w:p>
    <w:bookmarkEnd w:id="25"/>
    <w:bookmarkEnd w:id="26"/>
    <w:bookmarkStart w:id="27" w:name="challenges-facing-university-lecturers"/>
    <w:p>
      <w:pPr>
        <w:pStyle w:val="Heading2"/>
      </w:pPr>
      <w:r>
        <w:t xml:space="preserve">Challenges Facing University Lecturers</w:t>
      </w:r>
    </w:p>
    <w:p>
      <w:pPr>
        <w:pStyle w:val="FirstParagraph"/>
      </w:pPr>
      <w:r>
        <w:t xml:space="preserve">Despite progress, several challenges hinder the optimal performance of university lecturers in Uzbekistan:</w:t>
      </w:r>
    </w:p>
    <w:p>
      <w:pPr>
        <w:numPr>
          <w:ilvl w:val="0"/>
          <w:numId w:val="1001"/>
        </w:numPr>
        <w:pStyle w:val="Compact"/>
      </w:pPr>
      <w:r>
        <w:rPr>
          <w:bCs/>
          <w:b/>
        </w:rPr>
        <w:t xml:space="preserve">Bureaucratic Burden:</w:t>
      </w:r>
      <w:r>
        <w:t xml:space="preserve"> </w:t>
      </w:r>
      <w:r>
        <w:t xml:space="preserve">Excessive administrative tasks often detract from time available for research and teaching preparation. University lecturers report spending significant hours on compliance reporting rather than academic engagement.</w:t>
      </w:r>
    </w:p>
    <w:p>
      <w:pPr>
        <w:numPr>
          <w:ilvl w:val="0"/>
          <w:numId w:val="1001"/>
        </w:numPr>
        <w:pStyle w:val="Compact"/>
      </w:pPr>
      <w:r>
        <w:rPr>
          <w:bCs/>
          <w:b/>
        </w:rPr>
        <w:t xml:space="preserve">Funding Constraints:</w:t>
      </w:r>
      <w:r>
        <w:t xml:space="preserve"> </w:t>
      </w:r>
      <w:r>
        <w:t xml:space="preserve">While investment in higher education has increased, access to modern laboratory equipment and digital resources varies widely across institutions in Tashkent.</w:t>
      </w:r>
    </w:p>
    <w:p>
      <w:pPr>
        <w:numPr>
          <w:ilvl w:val="0"/>
          <w:numId w:val="1001"/>
        </w:numPr>
        <w:pStyle w:val="Compact"/>
      </w:pPr>
      <w:r>
        <w:rPr>
          <w:bCs/>
          <w:b/>
        </w:rPr>
        <w:t xml:space="preserve">Mental Health and Workload:</w:t>
      </w:r>
      <w:r>
        <w:t xml:space="preserve"> </w:t>
      </w:r>
      <w:r>
        <w:t xml:space="preserve">The rapid implementation of reforms has created high-pressure environments. University lecturers often face steep learning curves without adequate psychological support systems.</w:t>
      </w:r>
    </w:p>
    <w:p>
      <w:pPr>
        <w:numPr>
          <w:ilvl w:val="0"/>
          <w:numId w:val="1001"/>
        </w:numPr>
        <w:pStyle w:val="Compact"/>
      </w:pPr>
      <w:r>
        <w:rPr>
          <w:bCs/>
          <w:b/>
        </w:rPr>
        <w:t xml:space="preserve">Burnout among Junior Faculty:</w:t>
      </w:r>
      <w:r>
        <w:t xml:space="preserve"> </w:t>
      </w:r>
      <w:r>
        <w:t xml:space="preserve">Younger academics, who are often the most eager to innovate, may feel marginalized by seniority-based hierarchies common in some traditional departments.</w:t>
      </w:r>
    </w:p>
    <w:bookmarkEnd w:id="27"/>
    <w:bookmarkStart w:id="28" w:name="cases-and-recommendations"/>
    <w:p>
      <w:pPr>
        <w:pStyle w:val="Heading2"/>
      </w:pPr>
      <w:r>
        <w:t xml:space="preserve">Cases and Recommendations</w:t>
      </w:r>
    </w:p>
    <w:p>
      <w:pPr>
        <w:pStyle w:val="FirstParagraph"/>
      </w:pPr>
      <w:r>
        <w:t xml:space="preserve">To address these challenges, strategic interventions are necessary. First, universities must streamline administrative processes to reduce the non-academic burden on university lecturer staff. Digitalization of paperwork can significantly alleviate this stress.</w:t>
      </w:r>
    </w:p>
    <w:p>
      <w:pPr>
        <w:pStyle w:val="BodyText"/>
      </w:pPr>
      <w:r>
        <w:t xml:space="preserve">Second, targeted funding should be allocated to support research infrastructure in Tashkent’s universities. This includes grants for early-career faculty and subsidies for attending international conferences.</w:t>
      </w:r>
    </w:p>
    <w:p>
      <w:pPr>
        <w:pStyle w:val="BodyText"/>
      </w:pPr>
      <w:r>
        <w:t xml:space="preserve">Third, continuous professional development programs must be institutionalized. These programs should focus not only on subject matter expertise but also on pedagogical innovation and leadership skills. Mentorship schemes pairing experienced professors with junior staff can foster a collaborative academic culture.</w:t>
      </w:r>
    </w:p>
    <w:bookmarkEnd w:id="28"/>
    <w:bookmarkStart w:id="29" w:name="conclusion"/>
    <w:p>
      <w:pPr>
        <w:pStyle w:val="Heading2"/>
      </w:pPr>
      <w:r>
        <w:t xml:space="preserve">Conclusion</w:t>
      </w:r>
    </w:p>
    <w:p>
      <w:pPr>
        <w:pStyle w:val="FirstParagraph"/>
      </w:pPr>
      <w:r>
        <w:t xml:space="preserve">The role of the university lecturer in Uzbekistan, particularly within the dynamic academic environment of Tashkent, is undergoing a significant transformation. No longer confined to the delivery of static knowledge, academics are now expected to be researchers, innovators, and community leaders. The success of Uzbekistan’s higher education reforms hinges on recognizing and supporting this expanded role.</w:t>
      </w:r>
    </w:p>
    <w:p>
      <w:pPr>
        <w:pStyle w:val="BodyText"/>
      </w:pPr>
      <w:r>
        <w:t xml:space="preserve">By investing in the professional growth of university lecturer personnel and addressing systemic barriers, Tashkent can solidify its position as a regional hub for quality education. Ultimately, empowering academics will enhance student outcomes, drive scientific innovation, and contribute to the sustainable development of Uzbekistan as it integrates further into the global academic community.</w:t>
      </w:r>
    </w:p>
    <w:bookmarkEnd w:id="29"/>
    <w:bookmarkStart w:id="30" w:name="references"/>
    <w:p>
      <w:pPr>
        <w:pStyle w:val="Heading2"/>
      </w:pPr>
      <w:r>
        <w:t xml:space="preserve">References</w:t>
      </w:r>
    </w:p>
    <w:p>
      <w:pPr>
        <w:numPr>
          <w:ilvl w:val="0"/>
          <w:numId w:val="1002"/>
        </w:numPr>
        <w:pStyle w:val="Compact"/>
      </w:pPr>
      <w:r>
        <w:t xml:space="preserve">Bolton, A. (2019). Higher Education Reform in Central Asia: The Case of Uzbekistan. Journal of Post-Soviet Higher Education, 14(2), 45-67.</w:t>
      </w:r>
    </w:p>
    <w:p>
      <w:pPr>
        <w:numPr>
          <w:ilvl w:val="0"/>
          <w:numId w:val="1002"/>
        </w:numPr>
        <w:pStyle w:val="Compact"/>
      </w:pPr>
      <w:r>
        <w:t xml:space="preserve">Ministry of High Education, Science and Innovation of the Republic of Uzbekistan. (2020). Strategy for the Development of Higher Education in Uzbekistan until 2030. Tashkent: Official Publisher.</w:t>
      </w:r>
    </w:p>
    <w:p>
      <w:pPr>
        <w:numPr>
          <w:ilvl w:val="0"/>
          <w:numId w:val="1002"/>
        </w:numPr>
        <w:pStyle w:val="Compact"/>
      </w:pPr>
      <w:r>
        <w:t xml:space="preserve">Karimov, A., &amp; Smith, J. (2021). The Bologna Process Impact on Tashkent’s Universities: Challenges and Opportunities. Asian Education Studies, 8(4), 112-130.</w:t>
      </w:r>
    </w:p>
    <w:p>
      <w:pPr>
        <w:numPr>
          <w:ilvl w:val="0"/>
          <w:numId w:val="1002"/>
        </w:numPr>
        <w:pStyle w:val="Compact"/>
      </w:pPr>
      <w:r>
        <w:t xml:space="preserve">Zohidov, R. (2022). Faculty Development in Uzbekistan: A Comparative Study of Public and Private Institutions. International Journal of Educational Development, 98, Article 102765.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Tashkent: Academic Rigor and Institutional Modernization</dc:title>
  <dc:creator/>
  <dc:language>en</dc:language>
  <cp:keywords/>
  <dcterms:created xsi:type="dcterms:W3CDTF">2026-07-29T16:42:58Z</dcterms:created>
  <dcterms:modified xsi:type="dcterms:W3CDTF">2026-07-29T16:42:58Z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