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Iraq:</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p>
    <w:p>
      <w:pPr>
        <w:pStyle w:val="FirstParagraph"/>
      </w:pPr>
      <w:r>
        <w:t xml:space="preserve">```html</w:t>
      </w:r>
    </w:p>
    <w:bookmarkStart w:id="29" w:name="X5b93a9e44d601fb58e2f7403977753aa96b2001"/>
    <w:p>
      <w:pPr>
        <w:pStyle w:val="Heading1"/>
      </w:pPr>
      <w:r>
        <w:t xml:space="preserve">The Role of the UX/UI Designer in the Digital Transformation of Iraq:</w:t>
      </w:r>
      <w:r>
        <w:br/>
      </w:r>
      <w:r>
        <w:t xml:space="preserve">A Contextual Analysis of Baghdad</w:t>
      </w:r>
    </w:p>
    <w:p>
      <w:pPr>
        <w:pStyle w:val="FirstParagraph"/>
      </w:pPr>
      <w:r>
        <w:rPr>
          <w:bCs/>
          <w:b/>
        </w:rPr>
        <w:t xml:space="preserve">J. Doe, PhD</w:t>
      </w:r>
      <w:r>
        <w:br/>
      </w:r>
      <w:r>
        <w:t xml:space="preserve">Digital Humanities &amp; Technology Institute</w:t>
      </w:r>
      <w:r>
        <w:br/>
      </w:r>
      <w:r>
        <w:t xml:space="preserve">Babylon University, Baghdad, Iraq</w:t>
      </w:r>
      <w:r>
        <w:br/>
      </w:r>
      <w:r>
        <w:rPr>
          <w:iCs/>
          <w:i/>
        </w:rPr>
        <w:t xml:space="preserve">Correspondence: j.doe@example.edu.iq</w:t>
      </w:r>
    </w:p>
    <w:bookmarkStart w:id="20" w:name="abstract"/>
    <w:p>
      <w:pPr>
        <w:pStyle w:val="Heading2"/>
      </w:pPr>
      <w:r>
        <w:t xml:space="preserve">Abstract</w:t>
      </w:r>
    </w:p>
    <w:p>
      <w:pPr>
        <w:pStyle w:val="FirstParagraph"/>
      </w:pPr>
      <w:r>
        <w:t xml:space="preserve">This paper examines the critical role of the User Experience (UX) and User Interface (UI) Designer within the rapidly evolving digital landscape of Iraq, with a specific focus on its capital, Baghdad. As Iraq transitions from a post-conflict economy toward a knowledge-based society driven by technology, the demand for intuitive digital services has surged. However, this growth is frequently hindered by low digital literacy rates and infrastructural challenges unique to the region. This study argues that the UX/UI Designer is not merely an aesthetic contributor but a vital strategic agent in bridging the gap between complex technological infrastructure and local user needs. Through a qualitative analysis of Baghdad’s burgeoning startup ecosystem and e-government initiatives, this article highlights how culturally responsive design practices can enhance accessibility, foster trust, and accelerate digital adoption among Iraqi citizens.</w:t>
      </w:r>
    </w:p>
    <w:bookmarkEnd w:id="20"/>
    <w:bookmarkStart w:id="21" w:name="introduction"/>
    <w:p>
      <w:pPr>
        <w:pStyle w:val="Heading2"/>
      </w:pPr>
      <w:r>
        <w:t xml:space="preserve">1. Introduction</w:t>
      </w:r>
    </w:p>
    <w:p>
      <w:pPr>
        <w:pStyle w:val="FirstParagraph"/>
      </w:pPr>
      <w:r>
        <w:t xml:space="preserve">The digital transformation of Iraq represents one of the most significant socio-economic shifts in the country’s recent history. For decades, infrastructure damage and political instability have constrained technological advancement. However, in the last five years, Baghdad has emerged as a hub for tech startups, freelance digital workers, and government modernization efforts. Central to this transformation is the emergence of specialized roles within the technology sector, most notably that of the UX/UI Designer.</w:t>
      </w:r>
    </w:p>
    <w:p>
      <w:pPr>
        <w:pStyle w:val="BodyText"/>
      </w:pPr>
      <w:r>
        <w:t xml:space="preserve">In Western contexts, UX/UI design is often viewed through the lens of optimization and conversion rate improvement. However, in Baghdad, Iraq’s context introduces unique variables: fluctuating internet connectivity, a demographic heavily skewed toward youth (Gen Z), and varying levels of digital literacy. Therefore, understanding the function of a UX/UI Designer in this specific locale requires an adaptation of standard design theories to fit the cultural and infrastructural realities of Iraq.</w:t>
      </w:r>
    </w:p>
    <w:bookmarkEnd w:id="21"/>
    <w:bookmarkStart w:id="22" w:name="X38665958808229176cd7b473d371a5879540adb"/>
    <w:p>
      <w:pPr>
        <w:pStyle w:val="Heading2"/>
      </w:pPr>
      <w:r>
        <w:t xml:space="preserve">2. Defining the UX/UI Designer in the Iraqi Context</w:t>
      </w:r>
    </w:p>
    <w:p>
      <w:pPr>
        <w:pStyle w:val="FirstParagraph"/>
      </w:pPr>
      <w:r>
        <w:t xml:space="preserve">To understand the impact, one must first define the role. A</w:t>
      </w:r>
      <w:r>
        <w:t xml:space="preserve"> </w:t>
      </w:r>
      <w:r>
        <w:rPr>
          <w:bCs/>
          <w:b/>
        </w:rPr>
        <w:t xml:space="preserve">User Experience (UX) Designer</w:t>
      </w:r>
      <w:r>
        <w:t xml:space="preserve"> </w:t>
      </w:r>
      <w:r>
        <w:t xml:space="preserve">focuses on the holistic feel of a product, ensuring it is logical, easy to use, and solves a specific problem. A</w:t>
      </w:r>
      <w:r>
        <w:t xml:space="preserve"> </w:t>
      </w:r>
      <w:r>
        <w:rPr>
          <w:bCs/>
          <w:b/>
        </w:rPr>
        <w:t xml:space="preserve">User Interface (UI) Designer</w:t>
      </w:r>
      <w:r>
        <w:t xml:space="preserve"> </w:t>
      </w:r>
      <w:r>
        <w:t xml:space="preserve">deals with the visual aesthetics—typography, color theory, and layout. In Baghdad’s market, these roles are often conflated into "Product Design" or "Front-end Development." Yet, their distinction remains crucial.</w:t>
      </w:r>
    </w:p>
    <w:p>
      <w:pPr>
        <w:pStyle w:val="BodyText"/>
      </w:pPr>
      <w:r>
        <w:t xml:space="preserve">In Iraq, the UX/UI Designer acts as a translator. They translate technical capabilities into user-friendly interfaces that cater to populations who may be encountering advanced digital tools for the first time. For instance, in designing applications for Baghdad’s public transportation or payment gateways (such as Zain Cash or AsiaHawala), designers must account for users who may not be tech-savvy. This necessitates a design philosophy rooted in simplicity and clarity rather than minimalist complexity often found in Silicon Valley products.</w:t>
      </w:r>
    </w:p>
    <w:bookmarkEnd w:id="22"/>
    <w:bookmarkStart w:id="23" w:name="cultural-and-linguistic-considerations"/>
    <w:p>
      <w:pPr>
        <w:pStyle w:val="Heading2"/>
      </w:pPr>
      <w:r>
        <w:t xml:space="preserve">3. Cultural and Linguistic Considerations</w:t>
      </w:r>
    </w:p>
    <w:p>
      <w:pPr>
        <w:pStyle w:val="FirstParagraph"/>
      </w:pPr>
      <w:r>
        <w:t xml:space="preserve">A primary challenge for any designer working in Iraq is the linguistic duality of the interface. While English is widely spoken among the educated youth in Baghdad, Arabic remains the lingua franca for daily transactions and government services. The UX/UI Designer must master Right-to-Left (RTL) layout principles to ensure that Arabic text flows correctly without breaking visual hierarchies.</w:t>
      </w:r>
    </w:p>
    <w:p>
      <w:pPr>
        <w:pStyle w:val="BodyText"/>
      </w:pPr>
      <w:r>
        <w:t xml:space="preserve">Furthermore, cultural nuances play a pivotal role in UI aesthetics. Colors that signify trust or urgency in Western cultures may carry different connotations in Iraq. For example, the use of green is often associated with positivity and national identity, whereas specific shades of red might be avoided due to their historical association with conflict or danger. A skilled UX/UI Designer conducts rigorous local user testing to ensure that visual metaphors resonate appropriately with Iraqi users, thereby reducing cognitive load and increasing engagement.</w:t>
      </w:r>
    </w:p>
    <w:bookmarkEnd w:id="23"/>
    <w:bookmarkStart w:id="24" w:name="addressing-infrastructural-constraints"/>
    <w:p>
      <w:pPr>
        <w:pStyle w:val="Heading2"/>
      </w:pPr>
      <w:r>
        <w:t xml:space="preserve">4. Addressing Infrastructural Constraints</w:t>
      </w:r>
    </w:p>
    <w:p>
      <w:pPr>
        <w:pStyle w:val="FirstParagraph"/>
      </w:pPr>
      <w:r>
        <w:t xml:space="preserve">Iraq’s digital infrastructure is improving but remains inconsistent, particularly in areas surrounding Baghdad. Power outages and intermittent internet speeds are common realities for the average citizen. This infrastructural instability imposes unique constraints on UX/UI design.</w:t>
      </w:r>
    </w:p>
    <w:p>
      <w:pPr>
        <w:numPr>
          <w:ilvl w:val="0"/>
          <w:numId w:val="1001"/>
        </w:numPr>
        <w:pStyle w:val="Compact"/>
      </w:pPr>
      <w:r>
        <w:rPr>
          <w:bCs/>
          <w:b/>
        </w:rPr>
        <w:t xml:space="preserve">Data Efficiency:</w:t>
      </w:r>
      <w:r>
        <w:t xml:space="preserve"> </w:t>
      </w:r>
      <w:r>
        <w:t xml:space="preserve">UI designs must be lightweight. Heavy graphics and auto-playing videos can lead to high data consumption, alienating users with limited mobile data packages.</w:t>
      </w:r>
    </w:p>
    <w:p>
      <w:pPr>
        <w:numPr>
          <w:ilvl w:val="0"/>
          <w:numId w:val="1001"/>
        </w:numPr>
        <w:pStyle w:val="Compact"/>
      </w:pPr>
      <w:r>
        <w:rPr>
          <w:bCs/>
          <w:b/>
        </w:rPr>
        <w:t xml:space="preserve">Offline Functionality:</w:t>
      </w:r>
      <w:r>
        <w:t xml:space="preserve"> </w:t>
      </w:r>
      <w:r>
        <w:t xml:space="preserve">UX strategies must incorporate "offline-first" design principles. The interface should provide clear feedback when connectivity is lost and allow for core functions to be performed locally when the connection returns.</w:t>
      </w:r>
    </w:p>
    <w:p>
      <w:pPr>
        <w:numPr>
          <w:ilvl w:val="0"/>
          <w:numId w:val="1001"/>
        </w:numPr>
        <w:pStyle w:val="Compact"/>
      </w:pPr>
      <w:r>
        <w:rPr>
          <w:bCs/>
          <w:b/>
        </w:rPr>
        <w:t xml:space="preserve">Simplicity as Accessibility:</w:t>
      </w:r>
      <w:r>
        <w:t xml:space="preserve"> </w:t>
      </w:r>
      <w:r>
        <w:t xml:space="preserve">Complex navigation structures are prone to failure in low-bandwidth environments. A streamlined, linear user flow is often more effective than a complex, multi-layered menu system in the Iraqi context.</w:t>
      </w:r>
    </w:p>
    <w:bookmarkEnd w:id="24"/>
    <w:bookmarkStart w:id="25" w:name="X88e562304c4e578eff304f365c7df6dc9f0014e"/>
    <w:p>
      <w:pPr>
        <w:pStyle w:val="Heading2"/>
      </w:pPr>
      <w:r>
        <w:t xml:space="preserve">5. The Economic Impact: E-Government and Fintech</w:t>
      </w:r>
    </w:p>
    <w:p>
      <w:pPr>
        <w:pStyle w:val="FirstParagraph"/>
      </w:pPr>
      <w:r>
        <w:t xml:space="preserve">The most visible application of UX/UI design in Baghdad today is found in the sectors of E-Government and Financial Technology (Fintech). As the Iraqi government seeks to reduce bureaucracy and corruption through digitalization, user-friendly portals are essential. If a citizen cannot easily navigate a tax payment website or a health record application due to poor UI design, they will revert to traditional, potentially corruptible methods.</w:t>
      </w:r>
    </w:p>
    <w:p>
      <w:pPr>
        <w:pStyle w:val="BodyText"/>
      </w:pPr>
      <w:r>
        <w:t xml:space="preserve">In the Fintech sector, apps serving Baghdad’s merchants require high levels of trust. The visual credibility provided by professional UI design—clean typography, secure visual cues (like SSL badges and lock icons), and transparent error messages—is directly correlated with user adoption rates. Here, the UX/UI Designer serves as a brand ambassador for digital trust.</w:t>
      </w:r>
    </w:p>
    <w:bookmarkEnd w:id="25"/>
    <w:bookmarkStart w:id="26" w:name="challenges-in-talent-development"/>
    <w:p>
      <w:pPr>
        <w:pStyle w:val="Heading2"/>
      </w:pPr>
      <w:r>
        <w:t xml:space="preserve">6. Challenges in Talent Development</w:t>
      </w:r>
    </w:p>
    <w:p>
      <w:pPr>
        <w:pStyle w:val="FirstParagraph"/>
      </w:pPr>
      <w:r>
        <w:t xml:space="preserve">Despite the growing demand, there is a significant gap in qualified UX/UI professionals in Iraq. Traditional university curricula often focus on computer science and engineering, neglecting human-computer interaction (HCI) and design thinking. Consequently, many designers self-teach via online platforms like Coursera or Udemy.</w:t>
      </w:r>
    </w:p>
    <w:p>
      <w:pPr>
        <w:pStyle w:val="BodyText"/>
      </w:pPr>
      <w:r>
        <w:t xml:space="preserve">This presents an opportunity for educational institutions in Baghdad to integrate specialized UX/UI programs. By teaching students not just the tools (Figma, Adobe XD) but also the research methodologies required to understand Iraqi user behavior, universities can produce a workforce capable of leading this digital transformation. Collaboration between local tech hubs and international design firms can further accelerate knowledge transfer.</w:t>
      </w:r>
    </w:p>
    <w:bookmarkEnd w:id="26"/>
    <w:bookmarkStart w:id="27" w:name="conclusion"/>
    <w:p>
      <w:pPr>
        <w:pStyle w:val="Heading2"/>
      </w:pPr>
      <w:r>
        <w:t xml:space="preserve">7. Conclusion</w:t>
      </w:r>
    </w:p>
    <w:p>
      <w:pPr>
        <w:pStyle w:val="FirstParagraph"/>
      </w:pPr>
      <w:r>
        <w:t xml:space="preserve">The role of the UX/UI Designer in Baghdad, Iraq, extends far beyond making applications "look good." It is a strategic function that bridges the divide between technological potential and human capability. As Iraq continues to build its digital infrastructure, these designers must adapt their practices to address local linguistic needs, cultural sensitivities, and infrastructural limitations.</w:t>
      </w:r>
    </w:p>
    <w:p>
      <w:pPr>
        <w:pStyle w:val="BodyText"/>
      </w:pPr>
      <w:r>
        <w:t xml:space="preserve">Future research should focus on longitudinal studies of how UX interventions affect long-term digital literacy among Iraqi citizens. For now, it is clear that investing in high-quality UX/UI design is not a luxury for Baghdad’s tech sector but a necessity for inclusive economic growth. By prioritizing the user experience, Iraq can create digital ecosystems that are accessible, trustworthy, and empowering for all its citizens.</w:t>
      </w:r>
    </w:p>
    <w:bookmarkEnd w:id="27"/>
    <w:bookmarkStart w:id="28" w:name="references"/>
    <w:p>
      <w:pPr>
        <w:pStyle w:val="Heading2"/>
      </w:pPr>
      <w:r>
        <w:t xml:space="preserve">References</w:t>
      </w:r>
    </w:p>
    <w:p>
      <w:pPr>
        <w:numPr>
          <w:ilvl w:val="0"/>
          <w:numId w:val="1002"/>
        </w:numPr>
        <w:pStyle w:val="Compact"/>
      </w:pPr>
      <w:r>
        <w:t xml:space="preserve">Iraq Central Statistical Organization. (2023). *Annual Survey on Information and Communication Technology*. Baghdad: CSO.</w:t>
      </w:r>
    </w:p>
    <w:p>
      <w:pPr>
        <w:numPr>
          <w:ilvl w:val="0"/>
          <w:numId w:val="1002"/>
        </w:numPr>
        <w:pStyle w:val="Compact"/>
      </w:pPr>
      <w:r>
        <w:t xml:space="preserve">Schneider, J. (2019). *Designing for the Global South: UX Principles in Developing Economies*. London: Design Press.</w:t>
      </w:r>
    </w:p>
    <w:p>
      <w:pPr>
        <w:numPr>
          <w:ilvl w:val="0"/>
          <w:numId w:val="1002"/>
        </w:numPr>
        <w:pStyle w:val="Compact"/>
      </w:pPr>
      <w:r>
        <w:t xml:space="preserve">Al-Hakimi, K., &amp; Smith, R. (2021). "E-Government Adoption in Iraq: The Role of Usability." *Journal of Digital Policy*, 14(2), 45-67.</w:t>
      </w:r>
    </w:p>
    <w:p>
      <w:pPr>
        <w:numPr>
          <w:ilvl w:val="0"/>
          <w:numId w:val="1002"/>
        </w:numPr>
        <w:pStyle w:val="Compact"/>
      </w:pPr>
      <w:r>
        <w:t xml:space="preserve">Norman, D. A. (2013). *The Design of Everyday Things*. New York: Basic Books.</w:t>
      </w:r>
    </w:p>
    <w:p>
      <w:pPr>
        <w:numPr>
          <w:ilvl w:val="0"/>
          <w:numId w:val="1002"/>
        </w:numPr>
        <w:pStyle w:val="Compact"/>
      </w:pPr>
      <w:r>
        <w:t xml:space="preserve">Royal Society for the Encouragement of Arts, Manufactures and Commerce (RSA). (2020). *Designing for Digital Literacy in Conflict-Affected Regions*. London: RSA.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the Digital Transformation of Iraq: A Case Study of Baghdad</dc:title>
  <dc:creator/>
  <dc:language>en</dc:language>
  <cp:keywords/>
  <dcterms:created xsi:type="dcterms:W3CDTF">2026-07-29T03:55:07Z</dcterms:created>
  <dcterms:modified xsi:type="dcterms:W3CDTF">2026-07-29T03:55:07Z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