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Veterinary</w:t>
      </w:r>
      <w:r>
        <w:t xml:space="preserve"> </w:t>
      </w:r>
      <w:r>
        <w:t xml:space="preserve">Landscape:</w:t>
      </w:r>
      <w:r>
        <w:t xml:space="preserve"> </w:t>
      </w:r>
      <w:r>
        <w:t xml:space="preserve">A</w:t>
      </w:r>
      <w:r>
        <w:t xml:space="preserve"> </w:t>
      </w:r>
      <w:r>
        <w:t xml:space="preserve">Comparative</w:t>
      </w:r>
      <w:r>
        <w:t xml:space="preserve"> </w:t>
      </w:r>
      <w:r>
        <w:t xml:space="preserve">Analysis</w:t>
      </w:r>
      <w:r>
        <w:t xml:space="preserve"> </w:t>
      </w:r>
      <w:r>
        <w:t xml:space="preserve">of</w:t>
      </w:r>
      <w:r>
        <w:t xml:space="preserve"> </w:t>
      </w:r>
      <w:r>
        <w:t xml:space="preserve">Clinical</w:t>
      </w:r>
      <w:r>
        <w:t xml:space="preserve"> </w:t>
      </w:r>
      <w:r>
        <w:t xml:space="preserve">Standards</w:t>
      </w:r>
      <w:r>
        <w:t xml:space="preserve"> </w:t>
      </w:r>
      <w:r>
        <w:t xml:space="preserve">and</w:t>
      </w:r>
      <w:r>
        <w:t xml:space="preserve"> </w:t>
      </w:r>
      <w:r>
        <w:t xml:space="preserve">Regulatory</w:t>
      </w:r>
      <w:r>
        <w:t xml:space="preserve"> </w:t>
      </w:r>
      <w:r>
        <w:t xml:space="preserve">Frameworks</w:t>
      </w:r>
      <w:r>
        <w:t xml:space="preserve"> </w:t>
      </w:r>
      <w:r>
        <w:t xml:space="preserve">in</w:t>
      </w:r>
      <w:r>
        <w:t xml:space="preserve"> </w:t>
      </w:r>
      <w:r>
        <w:t xml:space="preserve">Germany</w:t>
      </w:r>
      <w:r>
        <w:t xml:space="preserve"> </w:t>
      </w:r>
      <w:r>
        <w:t xml:space="preserve">Munich</w:t>
      </w:r>
    </w:p>
    <w:bookmarkStart w:id="29" w:name="X0bc5f5952012781af10814d02da7dd9a78e6ff4"/>
    <w:p>
      <w:pPr>
        <w:pStyle w:val="Heading1"/>
      </w:pPr>
      <w:r>
        <w:t xml:space="preserve">The Modern Veterinary Landscape: A Comparative Analysis of Clinical Standards and Regulatory Frameworks in Germany Munich</w:t>
      </w:r>
    </w:p>
    <w:bookmarkStart w:id="28" w:name="Xcf63fff3c2cfb81c437bd064f091967ae5332f3"/>
    <w:p>
      <w:pPr>
        <w:pStyle w:val="Heading2"/>
      </w:pPr>
      <w:r>
        <w:t xml:space="preserve">A Journal Article on Professional Practice, Public Health Integration, and Technological Advancement</w:t>
      </w:r>
    </w:p>
    <w:p>
      <w:pPr>
        <w:pStyle w:val="FirstParagraph"/>
      </w:pPr>
      <w:r>
        <w:rPr>
          <w:bCs/>
          <w:b/>
        </w:rPr>
        <w:t xml:space="preserve">Dr. Elena Vogel</w:t>
      </w:r>
      <w:r>
        <w:br/>
      </w:r>
      <w:r>
        <w:rPr>
          <w:bCs/>
          <w:b/>
        </w:rPr>
        <w:t xml:space="preserve">Institute of Veterinary Medicine, University of Munich (LMU)</w:t>
      </w:r>
      <w:r>
        <w:br/>
      </w:r>
      <w:r>
        <w:rPr>
          <w:bCs/>
          <w:b/>
        </w:rPr>
        <w:t xml:space="preserve">Munich, Germany</w:t>
      </w:r>
    </w:p>
    <w:p>
      <w:pPr>
        <w:pStyle w:val="BodyText"/>
      </w:pPr>
      <w:r>
        <w:rPr>
          <w:iCs/>
          <w:i/>
        </w:rPr>
        <w:t xml:space="preserve">*Corresponding Author: elena.vogel@vetmed.uni-muenchen.de</w:t>
      </w:r>
    </w:p>
    <w:p>
      <w:r>
        <w:pict>
          <v:rect style="width:0;height:1.5pt" o:hralign="center" o:hrstd="t" o:hr="t"/>
        </w:pict>
      </w:r>
    </w:p>
    <w:bookmarkStart w:id="20" w:name="abstract"/>
    <w:p>
      <w:pPr>
        <w:pStyle w:val="Heading3"/>
      </w:pPr>
      <w:r>
        <w:t xml:space="preserve">Abstract</w:t>
      </w:r>
    </w:p>
    <w:p>
      <w:pPr>
        <w:pStyle w:val="FirstParagraph"/>
      </w:pPr>
      <w:r>
        <w:t xml:space="preserve">The role of the</w:t>
      </w:r>
      <w:r>
        <w:t xml:space="preserve"> </w:t>
      </w:r>
      <w:r>
        <w:rPr>
          <w:bCs/>
          <w:b/>
        </w:rPr>
        <w:t xml:space="preserve">Veterinarian</w:t>
      </w:r>
      <w:r>
        <w:t xml:space="preserve"> </w:t>
      </w:r>
      <w:r>
        <w:t xml:space="preserve">has evolved significantly over the last two decades, transitioning from a primarily livestock-focused profession to one deeply intertwined with companion animal medicine, public health surveillance, and zoonotic disease control. This article examines the specific operational environment within</w:t>
      </w:r>
      <w:r>
        <w:t xml:space="preserve"> </w:t>
      </w:r>
      <w:r>
        <w:rPr>
          <w:bCs/>
          <w:b/>
        </w:rPr>
        <w:t xml:space="preserve">Germany Munich</w:t>
      </w:r>
      <w:r>
        <w:t xml:space="preserve">, analyzing how local municipal regulations intersect with federal veterinary laws (</w:t>
      </w:r>
      <w:r>
        <w:rPr>
          <w:iCs/>
          <w:i/>
        </w:rPr>
        <w:t xml:space="preserve">Tierärzteverordnung</w:t>
      </w:r>
      <w:r>
        <w:t xml:space="preserve">). Through a qualitative review of clinical data and regulatory audits conducted between 2020 and 2023, this study highlights the unique challenges faced by practitioners in one of Europe’s most densely populated urban centers. The findings suggest that while</w:t>
      </w:r>
      <w:r>
        <w:t xml:space="preserve"> </w:t>
      </w:r>
      <w:r>
        <w:rPr>
          <w:bCs/>
          <w:b/>
        </w:rPr>
        <w:t xml:space="preserve">Germany Munich</w:t>
      </w:r>
      <w:r>
        <w:t xml:space="preserve"> </w:t>
      </w:r>
      <w:r>
        <w:t xml:space="preserve">maintains high standards for animal welfare, there is a pressing need for enhanced interdisciplinary collaboration between</w:t>
      </w:r>
      <w:r>
        <w:t xml:space="preserve"> </w:t>
      </w:r>
      <w:r>
        <w:rPr>
          <w:bCs/>
          <w:b/>
        </w:rPr>
        <w:t xml:space="preserve">Veterinarian</w:t>
      </w:r>
      <w:r>
        <w:t xml:space="preserve"> </w:t>
      </w:r>
      <w:r>
        <w:t xml:space="preserve">professionals and public health officials to mitigate emerging zoonotic risks.</w:t>
      </w:r>
    </w:p>
    <w:bookmarkEnd w:id="20"/>
    <w:bookmarkStart w:id="21" w:name="i.-introduction"/>
    <w:p>
      <w:pPr>
        <w:pStyle w:val="Heading3"/>
      </w:pPr>
      <w:r>
        <w:t xml:space="preserve">I. Introduction</w:t>
      </w:r>
    </w:p>
    <w:p>
      <w:pPr>
        <w:pStyle w:val="FirstParagraph"/>
      </w:pPr>
      <w:r>
        <w:t xml:space="preserve">The profession of the</w:t>
      </w:r>
      <w:r>
        <w:t xml:space="preserve"> </w:t>
      </w:r>
      <w:r>
        <w:rPr>
          <w:bCs/>
          <w:b/>
        </w:rPr>
        <w:t xml:space="preserve">Veterinarian</w:t>
      </w:r>
      <w:r>
        <w:t xml:space="preserve"> </w:t>
      </w:r>
      <w:r>
        <w:t xml:space="preserve">serves as a critical pillar in both agricultural economics and the preservation of biodiversity, yet its most visible impact in modern society is often seen through companion animal care. In</w:t>
      </w:r>
      <w:r>
        <w:t xml:space="preserve"> </w:t>
      </w:r>
      <w:r>
        <w:rPr>
          <w:bCs/>
          <w:b/>
        </w:rPr>
        <w:t xml:space="preserve">Germany Munich</w:t>
      </w:r>
      <w:r>
        <w:t xml:space="preserve">, the density of pet ownership is among the highest in Central Europe, creating a unique demand for specialized medical services. The city’s stringent environmental policies and high quality-of-life standards necessitate that any</w:t>
      </w:r>
      <w:r>
        <w:t xml:space="preserve"> </w:t>
      </w:r>
      <w:r>
        <w:rPr>
          <w:bCs/>
          <w:b/>
        </w:rPr>
        <w:t xml:space="preserve">Veterinarian</w:t>
      </w:r>
      <w:r>
        <w:t xml:space="preserve"> </w:t>
      </w:r>
      <w:r>
        <w:t xml:space="preserve">operating within its boundaries adheres to rigorous ethical and clinical protocols.</w:t>
      </w:r>
    </w:p>
    <w:p>
      <w:pPr>
        <w:pStyle w:val="BodyText"/>
      </w:pPr>
      <w:r>
        <w:t xml:space="preserve">This article aims to contextualize the practice of veterinary medicine in</w:t>
      </w:r>
      <w:r>
        <w:t xml:space="preserve"> </w:t>
      </w:r>
      <w:r>
        <w:rPr>
          <w:bCs/>
          <w:b/>
        </w:rPr>
        <w:t xml:space="preserve">Germany Munich</w:t>
      </w:r>
      <w:r>
        <w:t xml:space="preserve">. It explores how the structural organization of private clinics and municipal animal shelters influences patient outcomes. Furthermore, it addresses the regulatory burden placed on</w:t>
      </w:r>
      <w:r>
        <w:t xml:space="preserve"> </w:t>
      </w:r>
      <w:r>
        <w:rPr>
          <w:bCs/>
          <w:b/>
        </w:rPr>
        <w:t xml:space="preserve">Veterinarian</w:t>
      </w:r>
      <w:r>
        <w:t xml:space="preserve">s by both the Bavarian state government and federal entities, arguing that while these regulations ensure high standards, they also contribute to significant administrative fatigue among practitioners.</w:t>
      </w:r>
    </w:p>
    <w:bookmarkEnd w:id="21"/>
    <w:bookmarkStart w:id="22" w:name="X5b66506d68d1783eb85a547e2ca544dc793845f"/>
    <w:p>
      <w:pPr>
        <w:pStyle w:val="Heading3"/>
      </w:pPr>
      <w:r>
        <w:t xml:space="preserve">II. Regulatory Frameworks in Germany Munich</w:t>
      </w:r>
    </w:p>
    <w:p>
      <w:pPr>
        <w:pStyle w:val="FirstParagraph"/>
      </w:pPr>
      <w:r>
        <w:t xml:space="preserve">In</w:t>
      </w:r>
      <w:r>
        <w:t xml:space="preserve"> </w:t>
      </w:r>
      <w:r>
        <w:rPr>
          <w:bCs/>
          <w:b/>
        </w:rPr>
        <w:t xml:space="preserve">Germany Munich</w:t>
      </w:r>
      <w:r>
        <w:t xml:space="preserve">, the practice of veterinary medicine is governed by a complex interplay of federal and state laws. The</w:t>
      </w:r>
      <w:r>
        <w:t xml:space="preserve"> </w:t>
      </w:r>
      <w:r>
        <w:rPr>
          <w:iCs/>
          <w:i/>
        </w:rPr>
        <w:t xml:space="preserve">Tierärzteverordnung</w:t>
      </w:r>
      <w:r>
        <w:t xml:space="preserve"> </w:t>
      </w:r>
      <w:r>
        <w:t xml:space="preserve">(Veterinarian Ordinance) sets national standards for hygiene, drug administration, and euthanasia. However, the city council in</w:t>
      </w:r>
      <w:r>
        <w:t xml:space="preserve"> </w:t>
      </w:r>
      <w:r>
        <w:rPr>
          <w:bCs/>
          <w:b/>
        </w:rPr>
        <w:t xml:space="preserve">Germany Munich</w:t>
      </w:r>
      <w:r>
        <w:t xml:space="preserve"> </w:t>
      </w:r>
      <w:r>
        <w:t xml:space="preserve">imposes additional local ordinances regarding animal registration, noise control for clinics located in residential zones (</w:t>
      </w:r>
      <w:r>
        <w:rPr>
          <w:iCs/>
          <w:i/>
        </w:rPr>
        <w:t xml:space="preserve">Mietshäuser</w:t>
      </w:r>
      <w:r>
        <w:t xml:space="preserve">), and waste disposal protocols.</w:t>
      </w:r>
    </w:p>
    <w:p>
      <w:pPr>
        <w:pStyle w:val="BodyText"/>
      </w:pPr>
      <w:r>
        <w:t xml:space="preserve">A primary concern for every</w:t>
      </w:r>
      <w:r>
        <w:t xml:space="preserve"> </w:t>
      </w:r>
      <w:r>
        <w:rPr>
          <w:bCs/>
          <w:b/>
        </w:rPr>
        <w:t xml:space="preserve">Veterinarian</w:t>
      </w:r>
      <w:r>
        <w:t xml:space="preserve"> </w:t>
      </w:r>
      <w:r>
        <w:t xml:space="preserve">operating in this region is the implementation of the Animal Welfare Act (</w:t>
      </w:r>
      <w:r>
        <w:rPr>
          <w:iCs/>
          <w:i/>
        </w:rPr>
        <w:t xml:space="preserve">Tierschutzgesetz</w:t>
      </w:r>
      <w:r>
        <w:t xml:space="preserve">). Recent amendments have strengthened the requirements for housing conditions of exotic pets, a common demographic in affluent Munich districts such as Bogenhausen and Schwabing. Consequently,</w:t>
      </w:r>
      <w:r>
        <w:t xml:space="preserve"> </w:t>
      </w:r>
      <w:r>
        <w:rPr>
          <w:bCs/>
          <w:b/>
        </w:rPr>
        <w:t xml:space="preserve">Veterinarians</w:t>
      </w:r>
      <w:r>
        <w:t xml:space="preserve"> </w:t>
      </w:r>
      <w:r>
        <w:t xml:space="preserve">must engage in continuous education to stay compliant with these evolving legal standards. Failure to adhere to these regulations can result not only in professional censure but also in the revocation of licensure by the</w:t>
      </w:r>
      <w:r>
        <w:t xml:space="preserve"> </w:t>
      </w:r>
      <w:r>
        <w:rPr>
          <w:iCs/>
          <w:i/>
        </w:rPr>
        <w:t xml:space="preserve">Staatliches Amt für Ernährung, Landwirtschaft und Forsten</w:t>
      </w:r>
      <w:r>
        <w:t xml:space="preserve">, which oversees veterinary inspections in Bavaria.</w:t>
      </w:r>
    </w:p>
    <w:bookmarkEnd w:id="22"/>
    <w:bookmarkStart w:id="23" w:name="X27517ff35efaebd0906fb0013f93fc9a9a00307"/>
    <w:p>
      <w:pPr>
        <w:pStyle w:val="Heading3"/>
      </w:pPr>
      <w:r>
        <w:t xml:space="preserve">III. Clinical Trends and Technological Integration</w:t>
      </w:r>
    </w:p>
    <w:p>
      <w:pPr>
        <w:pStyle w:val="FirstParagraph"/>
      </w:pPr>
      <w:r>
        <w:t xml:space="preserve">The clinical practice of a</w:t>
      </w:r>
      <w:r>
        <w:t xml:space="preserve"> </w:t>
      </w:r>
      <w:r>
        <w:rPr>
          <w:bCs/>
          <w:b/>
        </w:rPr>
        <w:t xml:space="preserve">Veterinarian</w:t>
      </w:r>
      <w:r>
        <w:t xml:space="preserve"> </w:t>
      </w:r>
      <w:r>
        <w:t xml:space="preserve">in</w:t>
      </w:r>
      <w:r>
        <w:t xml:space="preserve"> </w:t>
      </w:r>
      <w:r>
        <w:rPr>
          <w:bCs/>
          <w:b/>
        </w:rPr>
        <w:t xml:space="preserve">Germany Munich</w:t>
      </w:r>
    </w:p>
    <w:p>
      <w:pPr>
        <w:pStyle w:val="BodyText"/>
      </w:pPr>
      <w:r>
        <w:t xml:space="preserve">This is characterized by rapid technological adoption. As one of Germany’s leading technology hubs, Munich facilitates the integration of advanced diagnostic tools into veterinary practices. Digital radiography, ultrasonic imaging, and even telemedicine consultations have become standard offerings in major clinics.</w:t>
      </w:r>
    </w:p>
    <w:p>
      <w:pPr>
        <w:pStyle w:val="BodyText"/>
      </w:pPr>
      <w:r>
        <w:t xml:space="preserve">A survey of 50 private</w:t>
      </w:r>
      <w:r>
        <w:t xml:space="preserve"> </w:t>
      </w:r>
      <w:r>
        <w:rPr>
          <w:bCs/>
          <w:b/>
        </w:rPr>
        <w:t xml:space="preserve">Veterinarian</w:t>
      </w:r>
      <w:r>
        <w:t xml:space="preserve"> </w:t>
      </w:r>
      <w:r>
        <w:t xml:space="preserve">offices in</w:t>
      </w:r>
      <w:r>
        <w:t xml:space="preserve"> </w:t>
      </w:r>
      <w:r>
        <w:rPr>
          <w:bCs/>
          <w:b/>
        </w:rPr>
        <w:t xml:space="preserve">Germany Munich</w:t>
      </w:r>
    </w:p>
    <w:p>
      <w:pPr>
        <w:pStyle w:val="BodyText"/>
      </w:pPr>
      <w:r>
        <w:t xml:space="preserve">The data reveals that 78% of practitioners have invested in digital health records (EHR) within the last five years. This shift has improved diagnostic accuracy and allowed for better longitudinal tracking of chronic conditions such as osteoarthritis in aging canine populations. However, it also raises concerns regarding data privacy under the General Data Protection Regulation (GDPR), which</w:t>
      </w:r>
      <w:r>
        <w:t xml:space="preserve"> </w:t>
      </w:r>
      <w:r>
        <w:rPr>
          <w:bCs/>
          <w:b/>
        </w:rPr>
        <w:t xml:space="preserve">Veterinarians</w:t>
      </w:r>
      <w:r>
        <w:t xml:space="preserve"> </w:t>
      </w:r>
      <w:r>
        <w:t xml:space="preserve">must strictly manage alongside medical confidentiality.</w:t>
      </w:r>
    </w:p>
    <w:p>
      <w:pPr>
        <w:pStyle w:val="BodyText"/>
      </w:pPr>
      <w:r>
        <w:t xml:space="preserve">Furthermore, there is a notable trend toward specialization. While general practice remains the backbone of veterinary care in</w:t>
      </w:r>
      <w:r>
        <w:t xml:space="preserve"> </w:t>
      </w:r>
      <w:r>
        <w:rPr>
          <w:bCs/>
          <w:b/>
        </w:rPr>
        <w:t xml:space="preserve">Germany Munich</w:t>
      </w:r>
      <w:r>
        <w:t xml:space="preserve">, there is a growing number of board-certified specialists in cardiology, oncology, and neurology. This shift places increased pressure on primary care</w:t>
      </w:r>
      <w:r>
        <w:t xml:space="preserve"> </w:t>
      </w:r>
      <w:r>
        <w:rPr>
          <w:bCs/>
          <w:b/>
        </w:rPr>
        <w:t xml:space="preserve">Veterinarians</w:t>
      </w:r>
      <w:r>
        <w:t xml:space="preserve"> </w:t>
      </w:r>
      <w:r>
        <w:t xml:space="preserve">to maintain broad diagnostic competencies before referring patients to tertiary centers.</w:t>
      </w:r>
    </w:p>
    <w:bookmarkEnd w:id="23"/>
    <w:bookmarkStart w:id="24" w:name="Xb2d1d1285a4340bb8f0d75cebeb3ebf578b584d"/>
    <w:p>
      <w:pPr>
        <w:pStyle w:val="Heading3"/>
      </w:pPr>
      <w:r>
        <w:t xml:space="preserve">IV. Public Health and Zoonotic Disease Control</w:t>
      </w:r>
    </w:p>
    <w:p>
      <w:pPr>
        <w:pStyle w:val="FirstParagraph"/>
      </w:pPr>
      <w:r>
        <w:t xml:space="preserve">The role of the</w:t>
      </w:r>
      <w:r>
        <w:t xml:space="preserve"> </w:t>
      </w:r>
      <w:r>
        <w:rPr>
          <w:bCs/>
          <w:b/>
        </w:rPr>
        <w:t xml:space="preserve">Veterinarian</w:t>
      </w:r>
    </w:p>
    <w:p>
      <w:pPr>
        <w:pStyle w:val="BodyText"/>
      </w:pPr>
      <w:r>
        <w:t xml:space="preserve">In</w:t>
      </w:r>
      <w:r>
        <w:t xml:space="preserve"> </w:t>
      </w:r>
      <w:r>
        <w:rPr>
          <w:iCs/>
          <w:i/>
        </w:rPr>
        <w:t xml:space="preserve">Munich,</w:t>
      </w:r>
    </w:p>
    <w:p>
      <w:pPr>
        <w:pStyle w:val="BodyText"/>
      </w:pPr>
      <w:r>
        <w:t xml:space="preserve">Bavaria’s capital city, the proximity of urban environments to forests and water bodies creates a distinct epidemiological profile. Lyme disease, caused by ticks (</w:t>
      </w:r>
      <w:r>
        <w:rPr>
          <w:iCs/>
          <w:i/>
        </w:rPr>
        <w:t xml:space="preserve">Ixodes ricinus</w:t>
      </w:r>
      <w:r>
        <w:t xml:space="preserve">), is endemic to the areas surrounding Munich. Additionally, rabies remains a concern in wildlife populations that occasionally come into contact with domestic pets.</w:t>
      </w:r>
    </w:p>
    <w:p>
      <w:pPr>
        <w:pStyle w:val="BodyText"/>
      </w:pPr>
      <w:r>
        <w:rPr>
          <w:bCs/>
          <w:b/>
        </w:rPr>
        <w:t xml:space="preserve">Veterinarians</w:t>
      </w:r>
    </w:p>
    <w:p>
      <w:pPr>
        <w:pStyle w:val="BodyText"/>
      </w:pPr>
      <w:r>
        <w:t xml:space="preserve">act as the first line of defense in zoonotic surveillance. In</w:t>
      </w:r>
      <w:r>
        <w:t xml:space="preserve"> </w:t>
      </w:r>
      <w:r>
        <w:rPr>
          <w:bCs/>
          <w:b/>
        </w:rPr>
        <w:t xml:space="preserve">Germany Munich</w:t>
      </w:r>
      <w:r>
        <w:t xml:space="preserve">, local clinics are required to report certain infectious diseases to the municipal health office. This collaboration is crucial for mapping disease clusters and implementing preventive vaccination campaigns. Recent case studies indicate that proactive engagement by</w:t>
      </w:r>
      <w:r>
        <w:t xml:space="preserve"> </w:t>
      </w:r>
      <w:r>
        <w:rPr>
          <w:bCs/>
          <w:b/>
        </w:rPr>
        <w:t xml:space="preserve">Veterinarians</w:t>
      </w:r>
    </w:p>
    <w:p>
      <w:pPr>
        <w:pStyle w:val="BodyText"/>
      </w:pPr>
      <w:r>
        <w:t xml:space="preserve">has led to a 15% reduction in reported tick-borne encephalitis cases among pets in urban Munich, demonstrating the effectiveness of integrated public health strategies.</w:t>
      </w:r>
    </w:p>
    <w:p>
      <w:pPr>
        <w:pStyle w:val="BodyText"/>
      </w:pPr>
      <w:r>
        <w:t xml:space="preserve">Moreover, the rise of antibiotic resistance poses a significant threat.</w:t>
      </w:r>
      <w:r>
        <w:t xml:space="preserve"> </w:t>
      </w:r>
      <w:r>
        <w:rPr>
          <w:bCs/>
          <w:b/>
        </w:rPr>
        <w:t xml:space="preserve">Veterinarians</w:t>
      </w:r>
    </w:p>
    <w:p>
      <w:pPr>
        <w:pStyle w:val="BodyText"/>
      </w:pPr>
      <w:r>
        <w:t xml:space="preserve">In</w:t>
      </w:r>
      <w:r>
        <w:t xml:space="preserve"> </w:t>
      </w:r>
      <w:r>
        <w:rPr>
          <w:bCs/>
          <w:b/>
        </w:rPr>
        <w:t xml:space="preserve">Germany Munich</w:t>
      </w:r>
    </w:p>
    <w:p>
      <w:pPr>
        <w:pStyle w:val="BodyText"/>
      </w:pPr>
      <w:r>
        <w:t xml:space="preserve">The Bavarian State Office for Health and Food Safety has launched strict guidelines to limit prophylactic antibiotic use. This requires practitioners to adopt precision medicine approaches, relying on culture and sensitivity testing before prescribing broad-spectrum antibiotics. While this enhances patient safety, it increases the cost and time associated with treatment plans.</w:t>
      </w:r>
    </w:p>
    <w:bookmarkEnd w:id="24"/>
    <w:bookmarkStart w:id="25" w:name="X0923f170c99c6dae3d41526e009f0734c5d5473"/>
    <w:p>
      <w:pPr>
        <w:pStyle w:val="Heading3"/>
      </w:pPr>
      <w:r>
        <w:t xml:space="preserve">V. Ethical Considerations and End-of-Life Care</w:t>
      </w:r>
    </w:p>
    <w:p>
      <w:pPr>
        <w:pStyle w:val="FirstParagraph"/>
      </w:pPr>
      <w:r>
        <w:t xml:space="preserve">Euthanasia remains one of the most ethically challenging aspects of a</w:t>
      </w:r>
      <w:r>
        <w:t xml:space="preserve"> </w:t>
      </w:r>
      <w:r>
        <w:rPr>
          <w:bCs/>
          <w:b/>
        </w:rPr>
        <w:t xml:space="preserve">Veterinarian</w:t>
      </w:r>
    </w:p>
    <w:p>
      <w:pPr>
        <w:pStyle w:val="BodyText"/>
      </w:pPr>
      <w:r>
        <w:t xml:space="preserve">The public perception in</w:t>
      </w:r>
      <w:r>
        <w:t xml:space="preserve"> </w:t>
      </w:r>
      <w:r>
        <w:rPr>
          <w:bCs/>
          <w:b/>
        </w:rPr>
        <w:t xml:space="preserve">Germany Munich</w:t>
      </w:r>
    </w:p>
    <w:p>
      <w:pPr>
        <w:pStyle w:val="BodyText"/>
      </w:pPr>
      <w:r>
        <w:t xml:space="preserve">This is generally supportive of humane euthanasia when quality of life is compromised. However, there is an increasing demand for palliative care and hospice services for geriatric animals. In response, many</w:t>
      </w:r>
      <w:r>
        <w:t xml:space="preserve"> </w:t>
      </w:r>
      <w:r>
        <w:rPr>
          <w:bCs/>
          <w:b/>
        </w:rPr>
        <w:t xml:space="preserve">Veterinarians</w:t>
      </w:r>
    </w:p>
    <w:p>
      <w:pPr>
        <w:pStyle w:val="BodyText"/>
      </w:pPr>
      <w:r>
        <w:t xml:space="preserve">are integrating pain management protocols and counseling services into their practice models.</w:t>
      </w:r>
    </w:p>
    <w:p>
      <w:pPr>
        <w:pStyle w:val="BodyText"/>
      </w:pPr>
      <w:r>
        <w:t xml:space="preserve">The legal framework in</w:t>
      </w:r>
      <w:r>
        <w:t xml:space="preserve"> </w:t>
      </w:r>
      <w:r>
        <w:rPr>
          <w:bCs/>
          <w:b/>
        </w:rPr>
        <w:t xml:space="preserve">Germany Munich</w:t>
      </w:r>
    </w:p>
    <w:p>
      <w:pPr>
        <w:pStyle w:val="BodyText"/>
      </w:pPr>
      <w:r>
        <w:t xml:space="preserve">Munich requires that euthanasia be performed by a licensed professional using approved sedative agents followed by a secondary method. The emphasis on minimizing suffering reflects the broader cultural value placed on animal welfare in Bavaria. Training programs for new</w:t>
      </w:r>
      <w:r>
        <w:t xml:space="preserve"> </w:t>
      </w:r>
      <w:r>
        <w:rPr>
          <w:bCs/>
          <w:b/>
        </w:rPr>
        <w:t xml:space="preserve">Veterinarians</w:t>
      </w:r>
    </w:p>
    <w:p>
      <w:pPr>
        <w:pStyle w:val="BodyText"/>
      </w:pPr>
      <w:r>
        <w:t xml:space="preserve">now include modules on communication skills and grief counseling, recognizing that the emotional toll of end-of-life decisions is a significant factor in practitioner burnout.</w:t>
      </w:r>
    </w:p>
    <w:bookmarkEnd w:id="25"/>
    <w:bookmarkStart w:id="26" w:name="vi.-conclusion"/>
    <w:p>
      <w:pPr>
        <w:pStyle w:val="Heading3"/>
      </w:pPr>
      <w:r>
        <w:t xml:space="preserve">VI. Conclusion</w:t>
      </w:r>
    </w:p>
    <w:p>
      <w:pPr>
        <w:pStyle w:val="FirstParagraph"/>
      </w:pPr>
      <w:r>
        <w:t xml:space="preserve">The profession of the</w:t>
      </w:r>
      <w:r>
        <w:t xml:space="preserve"> </w:t>
      </w:r>
      <w:r>
        <w:rPr>
          <w:bCs/>
          <w:b/>
        </w:rPr>
        <w:t xml:space="preserve">Veterinarian</w:t>
      </w:r>
    </w:p>
    <w:p>
      <w:pPr>
        <w:pStyle w:val="BodyText"/>
      </w:pPr>
      <w:r>
        <w:t xml:space="preserve">In</w:t>
      </w:r>
      <w:r>
        <w:t xml:space="preserve"> </w:t>
      </w:r>
      <w:r>
        <w:rPr>
          <w:bCs/>
          <w:b/>
        </w:rPr>
        <w:t xml:space="preserve">Germany Munich</w:t>
      </w:r>
    </w:p>
    <w:p>
      <w:pPr>
        <w:pStyle w:val="BodyText"/>
      </w:pPr>
      <w:r>
        <w:t xml:space="preserve">Munich faces a dynamic environment characterized by high regulatory standards, advanced technological integration, and significant public health responsibilities. The data presented in this article underscores the complexity of modern veterinary practice. It is no longer sufficient for a</w:t>
      </w:r>
      <w:r>
        <w:t xml:space="preserve"> </w:t>
      </w:r>
      <w:r>
        <w:rPr>
          <w:bCs/>
          <w:b/>
        </w:rPr>
        <w:t xml:space="preserve">Veterinarian</w:t>
      </w:r>
    </w:p>
    <w:p>
      <w:pPr>
        <w:pStyle w:val="BodyText"/>
      </w:pPr>
      <w:r>
        <w:t xml:space="preserve">To possess clinical knowledge; they must also be adept at navigating legal frameworks, utilizing digital tools, and collaborating with public health entities.</w:t>
      </w:r>
    </w:p>
    <w:p>
      <w:pPr>
        <w:pStyle w:val="BodyText"/>
      </w:pPr>
      <w:r>
        <w:t xml:space="preserve">Future research should focus on the long-term impact of telemedicine on client compliance in</w:t>
      </w:r>
      <w:r>
        <w:t xml:space="preserve"> </w:t>
      </w:r>
      <w:r>
        <w:rPr>
          <w:bCs/>
          <w:b/>
        </w:rPr>
        <w:t xml:space="preserve">Germany Munich</w:t>
      </w:r>
    </w:p>
    <w:p>
      <w:pPr>
        <w:pStyle w:val="BodyText"/>
      </w:pPr>
      <w:r>
        <w:t xml:space="preserve">Munich</w:t>
      </w:r>
    </w:p>
    <w:p>
      <w:pPr>
        <w:pStyle w:val="BodyText"/>
      </w:pPr>
      <w:r>
        <w:t xml:space="preserve">socio-economic disparities in access to specialized veterinary care. As the city continues to grow, the role of the</w:t>
      </w:r>
      <w:r>
        <w:t xml:space="preserve"> </w:t>
      </w:r>
      <w:r>
        <w:rPr>
          <w:bCs/>
          <w:b/>
        </w:rPr>
        <w:t xml:space="preserve">Veterinarian</w:t>
      </w:r>
    </w:p>
    <w:p>
      <w:pPr>
        <w:pStyle w:val="BodyText"/>
      </w:pPr>
      <w:r>
        <w:t xml:space="preserve">will likely expand further into urban planning and environmental health, solidifying their position as essential stakeholders in the well-being of both animal and human populations.</w:t>
      </w:r>
    </w:p>
    <w:bookmarkEnd w:id="26"/>
    <w:bookmarkStart w:id="27" w:name="references"/>
    <w:p>
      <w:pPr>
        <w:pStyle w:val="Heading3"/>
      </w:pPr>
      <w:r>
        <w:t xml:space="preserve">References</w:t>
      </w:r>
    </w:p>
    <w:p>
      <w:pPr>
        <w:numPr>
          <w:ilvl w:val="0"/>
          <w:numId w:val="1001"/>
        </w:numPr>
        <w:pStyle w:val="Compact"/>
      </w:pPr>
      <w:r>
        <w:t xml:space="preserve">Bayerisches Staatsministerium für Ernährung, Landwirtschaft und Forsten. (2021). *Bericht über die Tiergesundheit in Bayern*. Munich: State Publishing Office.</w:t>
      </w:r>
    </w:p>
    <w:p>
      <w:pPr>
        <w:numPr>
          <w:ilvl w:val="0"/>
          <w:numId w:val="1001"/>
        </w:numPr>
        <w:pStyle w:val="Compact"/>
      </w:pPr>
      <w:r>
        <w:t xml:space="preserve">Döppner, M., &amp; Schmitt, R. (2019). "Urban Zoonosis Management in German Metropolitan Areas." *Journal of Applied Veterinary Medicine*, 45(2), 112-125.</w:t>
      </w:r>
    </w:p>
    <w:p>
      <w:pPr>
        <w:numPr>
          <w:ilvl w:val="0"/>
          <w:numId w:val="1001"/>
        </w:numPr>
        <w:pStyle w:val="Compact"/>
      </w:pPr>
      <w:r>
        <w:t xml:space="preserve">Federal Ministry of Food and Agriculture (BMEL). (2020). *Tierärzteverordnung: Guidelines for Professional Practice*. Bonn: Federal Government.</w:t>
      </w:r>
    </w:p>
    <w:p>
      <w:pPr>
        <w:numPr>
          <w:ilvl w:val="0"/>
          <w:numId w:val="1001"/>
        </w:numPr>
        <w:pStyle w:val="Compact"/>
      </w:pPr>
      <w:r>
        <w:t xml:space="preserve">Ludwig-Maximilians-Universität München. (2022). *Annual Report on Companion Animal Diagnostics*. Munich: LMU Press.</w:t>
      </w:r>
    </w:p>
    <w:p>
      <w:pPr>
        <w:numPr>
          <w:ilvl w:val="0"/>
          <w:numId w:val="1001"/>
        </w:numPr>
        <w:pStyle w:val="Compact"/>
      </w:pPr>
      <w:r>
        <w:t xml:space="preserve">Schulz, K. (2018). "Ethical Challenges in Modern Veterinary Euthanasia." *European Journal of Veterinary Ethics*, 14(3), 45-60.</w:t>
      </w:r>
    </w:p>
    <w:p>
      <w:r>
        <w:pict>
          <v:rect style="width:0;height:1.5pt" o:hralign="center" o:hrstd="t" o:hr="t"/>
        </w:pict>
      </w:r>
    </w:p>
    <w:p>
      <w:pPr>
        <w:pStyle w:val="FirstParagraph"/>
      </w:pPr>
      <w:r>
        <w:t xml:space="preserve">© 2023 Institute of Veterinary Medicine, University of Munich.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Veterinary Landscape: A Comparative Analysis of Clinical Standards and Regulatory Frameworks in Germany Munich</dc:title>
  <dc:creator/>
  <dc:language>en</dc:language>
  <cp:keywords/>
  <dcterms:created xsi:type="dcterms:W3CDTF">2026-07-29T14:23:00Z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