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Visual</w:t>
      </w:r>
      <w:r>
        <w:t xml:space="preserve"> </w:t>
      </w:r>
      <w:r>
        <w:t xml:space="preserve">Architect</w:t>
      </w:r>
      <w:r>
        <w:t xml:space="preserve"> </w:t>
      </w:r>
      <w:r>
        <w:t xml:space="preserve">of</w:t>
      </w:r>
      <w:r>
        <w:t xml:space="preserve"> </w:t>
      </w:r>
      <w:r>
        <w:t xml:space="preserve">Memory: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Post-Conflict</w:t>
      </w:r>
      <w:r>
        <w:t xml:space="preserve"> </w:t>
      </w:r>
      <w:r>
        <w:t xml:space="preserve">Baghdad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Visual Architect of Memory: The Role of the Videographer in Post-Conflict Baghdad</dc:title>
  <dc:creator/>
  <dc:language>en</dc:language>
  <cp:keywords/>
  <dcterms:created xsi:type="dcterms:W3CDTF">2026-09-26T20:54:19Z</dcterms:created>
  <dcterms:modified xsi:type="dcterms:W3CDTF">2026-09-26T20:54:19Z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