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Melbourne,</w:t>
      </w:r>
      <w:r>
        <w:t xml:space="preserve"> </w:t>
      </w:r>
      <w:r>
        <w:t xml:space="preserve">Australia</w:t>
      </w:r>
    </w:p>
    <w:bookmarkStart w:id="20" w:name="X9d4357747dfc262e91ab2d18dc386d36bcad98e"/>
    <w:p>
      <w:pPr>
        <w:pStyle w:val="Heading1"/>
      </w:pPr>
      <w:r>
        <w:t xml:space="preserve">Annotated Bibliography: The Academic Researcher in Melbourne, Australia</w:t>
      </w:r>
    </w:p>
    <w:p>
      <w:pPr>
        <w:pStyle w:val="FirstParagraph"/>
      </w:pPr>
      <w:r>
        <w:t xml:space="preserve">Prepared for: Academic Professionals and Policy Analysts</w:t>
      </w:r>
      <w:r>
        <w:br/>
      </w:r>
      <w:r>
        <w:t xml:space="preserve">Location Focus: Melbourne, Victoria, Australia</w:t>
      </w:r>
      <w:r>
        <w:br/>
      </w:r>
      <w:r>
        <w:t xml:space="preserve">Date: October 2023</w:t>
      </w:r>
    </w:p>
    <w:bookmarkEnd w:id="20"/>
    <w:bookmarkStart w:id="21" w:name="introduction"/>
    <w:p>
      <w:pPr>
        <w:pStyle w:val="Heading2"/>
      </w:pPr>
      <w:r>
        <w:t xml:space="preserve">Introduction</w:t>
      </w:r>
    </w:p>
    <w:p>
      <w:pPr>
        <w:pStyle w:val="FirstParagraph"/>
      </w:pPr>
      <w:r>
        <w:t xml:space="preserve">Melbourne has established itself as a premier global hub for higher education and scientific discovery. This annotated bibliography compiles key literature regarding the role, challenges, and opportunities of the</w:t>
      </w:r>
      <w:r>
        <w:t xml:space="preserve"> </w:t>
      </w:r>
      <w:r>
        <w:rPr>
          <w:bCs/>
          <w:b/>
        </w:rPr>
        <w:t xml:space="preserve">Academic Researcher</w:t>
      </w:r>
      <w:r>
        <w:t xml:space="preserve"> </w:t>
      </w:r>
      <w:r>
        <w:t xml:space="preserve">within the specific context of</w:t>
      </w:r>
      <w:r>
        <w:t xml:space="preserve"> </w:t>
      </w:r>
      <w:r>
        <w:rPr>
          <w:bCs/>
          <w:b/>
        </w:rPr>
        <w:t xml:space="preserve">Australia Melbourne</w:t>
      </w:r>
      <w:r>
        <w:t xml:space="preserve">. The selected sources examine the unique ecosystem of Victorian universities, the impact of federal funding models, and the cultural expectations placed on scholars in this dynamic city. This document serves as a foundational resource for understanding the professional landscape of research in Melbourne.</w:t>
      </w:r>
    </w:p>
    <w:bookmarkEnd w:id="21"/>
    <w:p>
      <w:pPr>
        <w:pStyle w:val="BodyText"/>
      </w:pPr>
      <w:r>
        <w:t xml:space="preserve"> </w:t>
      </w:r>
      <w:r>
        <w:t xml:space="preserve">Australian Bureau of Statistics (ABS). (2022).</w:t>
      </w:r>
      <w:r>
        <w:t xml:space="preserve"> </w:t>
      </w:r>
      <w:r>
        <w:rPr>
          <w:iCs/>
          <w:i/>
        </w:rPr>
        <w:t xml:space="preserve">Research and Experimental Development in Australia, 2020-21</w:t>
      </w:r>
      <w:r>
        <w:t xml:space="preserve">. Canberra: ABS.</w:t>
      </w:r>
      <w:r>
        <w:t xml:space="preserve"> </w:t>
      </w:r>
    </w:p>
    <w:p>
      <w:pPr>
        <w:pStyle w:val="BodyText"/>
      </w:pPr>
      <w:r>
        <w:t xml:space="preserve">This comprehensive statistical report provides critical data on the volume and distribution of research activities across Australia. For the</w:t>
      </w:r>
      <w:r>
        <w:t xml:space="preserve"> </w:t>
      </w:r>
      <w:r>
        <w:rPr>
          <w:bCs/>
          <w:b/>
        </w:rPr>
        <w:t xml:space="preserve">Academic Researcher</w:t>
      </w:r>
      <w:r>
        <w:t xml:space="preserve"> </w:t>
      </w:r>
      <w:r>
        <w:t xml:space="preserve">in</w:t>
      </w:r>
      <w:r>
        <w:t xml:space="preserve"> </w:t>
      </w:r>
      <w:r>
        <w:rPr>
          <w:bCs/>
          <w:b/>
        </w:rPr>
        <w:t xml:space="preserve">Australia Melbourne</w:t>
      </w:r>
      <w:r>
        <w:t xml:space="preserve">, this source is indispensable for understanding the macroeconomic environment. It highlights that Victoria, and specifically Melbourne, accounts for a disproportionate share of national R&amp;D expenditure, particularly in the biomedical and engineering sectors. The data underscores the high density of research institutions in Melbourne, illustrating why the city is a magnet for global talent. Researchers can use this report to benchmark their institution's performance against national averages and to identify emerging funding priorities.</w:t>
      </w:r>
    </w:p>
    <w:p>
      <w:pPr>
        <w:pStyle w:val="BodyText"/>
      </w:pPr>
      <w:r>
        <w:t xml:space="preserve"> </w:t>
      </w:r>
      <w:r>
        <w:t xml:space="preserve">Deem, R., &amp; Huisman, J. (2020). "The Changing Role of the Academic Researcher in the Global Knowledge Economy."</w:t>
      </w:r>
      <w:r>
        <w:t xml:space="preserve"> </w:t>
      </w:r>
      <w:r>
        <w:rPr>
          <w:iCs/>
          <w:i/>
        </w:rPr>
        <w:t xml:space="preserve">Higher Education Policy</w:t>
      </w:r>
      <w:r>
        <w:t xml:space="preserve">, 33(2), 145-162.</w:t>
      </w:r>
      <w:r>
        <w:t xml:space="preserve"> </w:t>
      </w:r>
    </w:p>
    <w:p>
      <w:pPr>
        <w:pStyle w:val="BodyText"/>
      </w:pPr>
      <w:r>
        <w:t xml:space="preserve">Deem and Huisman analyze the shifting expectations placed on scholars in major metropolitan centers. While a global study, its findings are highly relevant to the</w:t>
      </w:r>
      <w:r>
        <w:t xml:space="preserve"> </w:t>
      </w:r>
      <w:r>
        <w:rPr>
          <w:bCs/>
          <w:b/>
        </w:rPr>
        <w:t xml:space="preserve">Academic Researcher</w:t>
      </w:r>
      <w:r>
        <w:t xml:space="preserve"> </w:t>
      </w:r>
      <w:r>
        <w:t xml:space="preserve">in</w:t>
      </w:r>
      <w:r>
        <w:t xml:space="preserve"> </w:t>
      </w:r>
      <w:r>
        <w:rPr>
          <w:bCs/>
          <w:b/>
        </w:rPr>
        <w:t xml:space="preserve">Australia Melbourne</w:t>
      </w:r>
      <w:r>
        <w:t xml:space="preserve">. The authors argue that researchers in cities like Melbourne are increasingly expected to act as "entrepreneurial academics," bridging the gap between theoretical inquiry and commercial application. This aligns with Melbourne's strong focus on innovation precincts, such as the Biomedical Discovery Precinct. The article provides a theoretical framework for understanding the pressure Melbourne-based researchers face to secure industry partnerships alongside traditional grant funding.</w:t>
      </w:r>
    </w:p>
    <w:p>
      <w:pPr>
        <w:pStyle w:val="BodyText"/>
      </w:pPr>
      <w:r>
        <w:t xml:space="preserve"> </w:t>
      </w:r>
      <w:r>
        <w:t xml:space="preserve">Department of Education, Skills and Employment. (2021).</w:t>
      </w:r>
      <w:r>
        <w:t xml:space="preserve"> </w:t>
      </w:r>
      <w:r>
        <w:rPr>
          <w:iCs/>
          <w:i/>
        </w:rPr>
        <w:t xml:space="preserve">Research Training Scheme (RTS) Guidelines</w:t>
      </w:r>
      <w:r>
        <w:t xml:space="preserve">. Canberra: Commonwealth of Australia.</w:t>
      </w:r>
      <w:r>
        <w:t xml:space="preserve"> </w:t>
      </w:r>
    </w:p>
    <w:p>
      <w:pPr>
        <w:pStyle w:val="BodyText"/>
      </w:pPr>
      <w:r>
        <w:t xml:space="preserve">This government document outlines the federal funding mechanisms supporting postgraduate research training. For the</w:t>
      </w:r>
      <w:r>
        <w:t xml:space="preserve"> </w:t>
      </w:r>
      <w:r>
        <w:rPr>
          <w:bCs/>
          <w:b/>
        </w:rPr>
        <w:t xml:space="preserve">Academic Researcher</w:t>
      </w:r>
      <w:r>
        <w:t xml:space="preserve"> </w:t>
      </w:r>
      <w:r>
        <w:t xml:space="preserve">in</w:t>
      </w:r>
      <w:r>
        <w:t xml:space="preserve"> </w:t>
      </w:r>
      <w:r>
        <w:rPr>
          <w:bCs/>
          <w:b/>
        </w:rPr>
        <w:t xml:space="preserve">Australia Melbourne</w:t>
      </w:r>
      <w:r>
        <w:t xml:space="preserve">, particularly those supervising PhD candidates, this is a primary operational reference. Melbourne hosts some of Australia's largest cohorts of research students, and the RTS guidelines dictate the financial viability of these programs. The document details the stipend rates and fee contributions, which are crucial for researchers managing their labs and supervisory loads. It reflects the Australian government's commitment to maintaining Melbourne's status as a research powerhouse by ensuring a steady pipeline of early-career scholars.</w:t>
      </w:r>
    </w:p>
    <w:p>
      <w:pPr>
        <w:pStyle w:val="BodyText"/>
      </w:pPr>
      <w:r>
        <w:t xml:space="preserve"> </w:t>
      </w:r>
      <w:r>
        <w:t xml:space="preserve">Marginson, S. (2019). "The Future of Australian Universities."</w:t>
      </w:r>
      <w:r>
        <w:t xml:space="preserve"> </w:t>
      </w:r>
      <w:r>
        <w:rPr>
          <w:iCs/>
          <w:i/>
        </w:rPr>
        <w:t xml:space="preserve">Grattan Institute Report</w:t>
      </w:r>
      <w:r>
        <w:t xml:space="preserve">. Melbourne: Grattan Institute.</w:t>
      </w:r>
      <w:r>
        <w:t xml:space="preserve"> </w:t>
      </w:r>
    </w:p>
    <w:p>
      <w:pPr>
        <w:pStyle w:val="BodyText"/>
      </w:pPr>
      <w:r>
        <w:t xml:space="preserve">Written by a prominent scholar based in Melbourne, this report offers a critical perspective on the sustainability of the higher education sector in</w:t>
      </w:r>
      <w:r>
        <w:t xml:space="preserve"> </w:t>
      </w:r>
      <w:r>
        <w:rPr>
          <w:bCs/>
          <w:b/>
        </w:rPr>
        <w:t xml:space="preserve">Australia Melbourne</w:t>
      </w:r>
      <w:r>
        <w:t xml:space="preserve">. Marginson discusses the intense competition for research funding and the reliance on international student fees to subsidize research activities. For the</w:t>
      </w:r>
      <w:r>
        <w:t xml:space="preserve"> </w:t>
      </w:r>
      <w:r>
        <w:rPr>
          <w:bCs/>
          <w:b/>
        </w:rPr>
        <w:t xml:space="preserve">Academic Researcher</w:t>
      </w:r>
      <w:r>
        <w:t xml:space="preserve">, this text is vital for understanding the financial precarity that often underpins their work. It highlights the specific challenges faced by Melbourne universities in balancing commercial pressures with academic freedom, providing a sobering context for career planning and institutional strategy.</w:t>
      </w:r>
    </w:p>
    <w:p>
      <w:pPr>
        <w:pStyle w:val="BodyText"/>
      </w:pPr>
      <w:r>
        <w:t xml:space="preserve"> </w:t>
      </w:r>
      <w:r>
        <w:t xml:space="preserve">National Health and Medical Research Council (NHMRC). (2023).</w:t>
      </w:r>
      <w:r>
        <w:t xml:space="preserve"> </w:t>
      </w:r>
      <w:r>
        <w:rPr>
          <w:iCs/>
          <w:i/>
        </w:rPr>
        <w:t xml:space="preserve">Grant Application Guidelines: Project Grants</w:t>
      </w:r>
      <w:r>
        <w:t xml:space="preserve">. Canberra: NHMRC.</w:t>
      </w:r>
      <w:r>
        <w:t xml:space="preserve"> </w:t>
      </w:r>
    </w:p>
    <w:p>
      <w:pPr>
        <w:pStyle w:val="BodyText"/>
      </w:pPr>
      <w:r>
        <w:t xml:space="preserve">The NHMRC is the primary funding body for health and medical research in Australia. This guideline document is essential reading for the</w:t>
      </w:r>
      <w:r>
        <w:t xml:space="preserve"> </w:t>
      </w:r>
      <w:r>
        <w:rPr>
          <w:bCs/>
          <w:b/>
        </w:rPr>
        <w:t xml:space="preserve">Academic Researcher</w:t>
      </w:r>
      <w:r>
        <w:t xml:space="preserve"> </w:t>
      </w:r>
      <w:r>
        <w:t xml:space="preserve">in</w:t>
      </w:r>
      <w:r>
        <w:t xml:space="preserve"> </w:t>
      </w:r>
      <w:r>
        <w:rPr>
          <w:bCs/>
          <w:b/>
        </w:rPr>
        <w:t xml:space="preserve">Australia Melbourne</w:t>
      </w:r>
      <w:r>
        <w:t xml:space="preserve">, given the city's dominance in medical science. Melbourne is home to world-leading institutions like the Peter Doherty Institute and the Walter and Eliza Hall Institute. This source details the rigorous peer-review process and the strategic priorities for funding. It emphasizes the need for collaborative, multidisciplinary approaches, which are common in Melbourne's dense network of health research organizations. Understanding these guidelines is critical for securing the resources necessary to conduct high-impact research.</w:t>
      </w:r>
    </w:p>
    <w:p>
      <w:pPr>
        <w:pStyle w:val="BodyText"/>
      </w:pPr>
      <w:r>
        <w:t xml:space="preserve"> </w:t>
      </w:r>
      <w:r>
        <w:t xml:space="preserve">Australian Research Council (ARC). (2022).</w:t>
      </w:r>
      <w:r>
        <w:t xml:space="preserve"> </w:t>
      </w:r>
      <w:r>
        <w:rPr>
          <w:iCs/>
          <w:i/>
        </w:rPr>
        <w:t xml:space="preserve">Linkage Projects Scheme: Guidelines for Applicants</w:t>
      </w:r>
      <w:r>
        <w:t xml:space="preserve">. Canberra: ARC.</w:t>
      </w:r>
      <w:r>
        <w:t xml:space="preserve"> </w:t>
      </w:r>
    </w:p>
    <w:p>
      <w:pPr>
        <w:pStyle w:val="BodyText"/>
      </w:pPr>
      <w:r>
        <w:t xml:space="preserve">The ARC Linkage Projects Scheme encourages collaboration between academic researchers and industry partners. This document is particularly relevant to the</w:t>
      </w:r>
      <w:r>
        <w:t xml:space="preserve"> </w:t>
      </w:r>
      <w:r>
        <w:rPr>
          <w:bCs/>
          <w:b/>
        </w:rPr>
        <w:t xml:space="preserve">Academic Researcher</w:t>
      </w:r>
      <w:r>
        <w:t xml:space="preserve"> </w:t>
      </w:r>
      <w:r>
        <w:t xml:space="preserve">in</w:t>
      </w:r>
      <w:r>
        <w:t xml:space="preserve"> </w:t>
      </w:r>
      <w:r>
        <w:rPr>
          <w:bCs/>
          <w:b/>
        </w:rPr>
        <w:t xml:space="preserve">Australia Melbourne</w:t>
      </w:r>
      <w:r>
        <w:t xml:space="preserve">, where strong ties exist between universities and sectors such as agriculture, technology, and manufacturing. The guidelines outline the requirements for industry cash or in-kind contributions, reflecting the Australian government's push for research that delivers economic outcomes. For Melbourne-based scholars, this source provides a roadmap for translating academic expertise into practical solutions, leveraging the city's robust industrial ecosystem.</w:t>
      </w:r>
    </w:p>
    <w:p>
      <w:pPr>
        <w:pStyle w:val="BodyText"/>
      </w:pPr>
      <w:r>
        <w:t xml:space="preserve"> </w:t>
      </w:r>
      <w:r>
        <w:t xml:space="preserve">Trowler, P. (2020). "Academic Work and Wellbeing in Australian Universities."</w:t>
      </w:r>
      <w:r>
        <w:t xml:space="preserve"> </w:t>
      </w:r>
      <w:r>
        <w:rPr>
          <w:iCs/>
          <w:i/>
        </w:rPr>
        <w:t xml:space="preserve">Journal of Tertiary Education</w:t>
      </w:r>
      <w:r>
        <w:t xml:space="preserve">, 15(3), 210-225.</w:t>
      </w:r>
      <w:r>
        <w:t xml:space="preserve"> </w:t>
      </w:r>
    </w:p>
    <w:p>
      <w:pPr>
        <w:pStyle w:val="BodyText"/>
      </w:pPr>
      <w:r>
        <w:t xml:space="preserve">This article addresses the growing concern regarding mental health and job security among academics. For the</w:t>
      </w:r>
      <w:r>
        <w:t xml:space="preserve"> </w:t>
      </w:r>
      <w:r>
        <w:rPr>
          <w:bCs/>
          <w:b/>
        </w:rPr>
        <w:t xml:space="preserve">Academic Researcher</w:t>
      </w:r>
      <w:r>
        <w:t xml:space="preserve"> </w:t>
      </w:r>
      <w:r>
        <w:t xml:space="preserve">in</w:t>
      </w:r>
      <w:r>
        <w:t xml:space="preserve"> </w:t>
      </w:r>
      <w:r>
        <w:rPr>
          <w:bCs/>
          <w:b/>
        </w:rPr>
        <w:t xml:space="preserve">Australia Melbourne</w:t>
      </w:r>
      <w:r>
        <w:t xml:space="preserve">, the findings are particularly poignant. The high cost of living in Melbourne, combined with the prevalence of casual employment contracts in the university sector, creates significant stress. Trowler's research highlights the need for better support systems and more stable career pathways. It serves as a critical reflection on the human cost of the competitive research environment in Melbourne, urging institutions to prioritize the wellbeing of their research staff.</w:t>
      </w:r>
    </w:p>
    <w:p>
      <w:pPr>
        <w:pStyle w:val="BodyText"/>
      </w:pPr>
      <w:r>
        <w:t xml:space="preserve"> </w:t>
      </w:r>
      <w:r>
        <w:t xml:space="preserve">Victorian Government. (2021).</w:t>
      </w:r>
      <w:r>
        <w:t xml:space="preserve"> </w:t>
      </w:r>
      <w:r>
        <w:rPr>
          <w:iCs/>
          <w:i/>
        </w:rPr>
        <w:t xml:space="preserve">Victoria’s Research and Innovation Strategy 2021-2031</w:t>
      </w:r>
      <w:r>
        <w:t xml:space="preserve">. Melbourne: Department of Jobs, Precincts and Regions.</w:t>
      </w:r>
      <w:r>
        <w:t xml:space="preserve"> </w:t>
      </w:r>
    </w:p>
    <w:p>
      <w:pPr>
        <w:pStyle w:val="BodyText"/>
      </w:pPr>
      <w:r>
        <w:t xml:space="preserve">This strategic document outlines the state government's vision for enhancing Melbourne's position as a global research leader. It is a key resource for the</w:t>
      </w:r>
      <w:r>
        <w:t xml:space="preserve"> </w:t>
      </w:r>
      <w:r>
        <w:rPr>
          <w:bCs/>
          <w:b/>
        </w:rPr>
        <w:t xml:space="preserve">Academic Researcher</w:t>
      </w:r>
      <w:r>
        <w:t xml:space="preserve"> </w:t>
      </w:r>
      <w:r>
        <w:t xml:space="preserve">in</w:t>
      </w:r>
      <w:r>
        <w:t xml:space="preserve"> </w:t>
      </w:r>
      <w:r>
        <w:rPr>
          <w:bCs/>
          <w:b/>
        </w:rPr>
        <w:t xml:space="preserve">Australia Melbourne</w:t>
      </w:r>
      <w:r>
        <w:t xml:space="preserve"> </w:t>
      </w:r>
      <w:r>
        <w:t xml:space="preserve">seeking to align their work with state priorities. The strategy focuses on key areas such as clean energy, advanced manufacturing, and health. By identifying these priority areas, the document signals where future state funding and infrastructure investments are likely to flow. Researchers can use this information to shape their grant applications and collaborative projects, ensuring they contribute to the broader economic and social goals of Victoria.</w:t>
      </w:r>
    </w:p>
    <w:p>
      <w:pPr>
        <w:pStyle w:val="BodyText"/>
      </w:pPr>
      <w:r>
        <w:t xml:space="preserve">© 2023 Academic Research Resources. All rights reserved. This document is for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Melbourne, Australia</dc:title>
  <dc:creator/>
  <dc:language>en</dc:language>
  <cp:keywords/>
  <dcterms:created xsi:type="dcterms:W3CDTF">2026-08-07T18:59:25Z</dcterms:created>
  <dcterms:modified xsi:type="dcterms:W3CDTF">2026-08-07T18:59:25Z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