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Sydney,</w:t>
      </w:r>
      <w:r>
        <w:t xml:space="preserve"> </w:t>
      </w:r>
      <w:r>
        <w:t xml:space="preserve">Australia</w:t>
      </w:r>
    </w:p>
    <w:bookmarkStart w:id="20" w:name="Xb0bb92f33e5f079687e3a1b3440f8fa66ee60ea"/>
    <w:p>
      <w:pPr>
        <w:pStyle w:val="Heading1"/>
      </w:pPr>
      <w:r>
        <w:t xml:space="preserve">Annotated Bibliography: The Academic Researcher in Sydney, Australia</w:t>
      </w:r>
    </w:p>
    <w:p>
      <w:pPr>
        <w:pStyle w:val="FirstParagraph"/>
      </w:pPr>
      <w:r>
        <w:rPr>
          <w:bCs/>
          <w:b/>
        </w:rPr>
        <w:t xml:space="preserve">Subject:</w:t>
      </w:r>
      <w:r>
        <w:t xml:space="preserve"> </w:t>
      </w:r>
      <w:r>
        <w:t xml:space="preserve">Higher Education, Research Policy, and Academic Workforce Dynamics</w:t>
      </w:r>
    </w:p>
    <w:p>
      <w:pPr>
        <w:pStyle w:val="BodyText"/>
      </w:pPr>
      <w:r>
        <w:rPr>
          <w:bCs/>
          <w:b/>
        </w:rPr>
        <w:t xml:space="preserve">Location Focus:</w:t>
      </w:r>
      <w:r>
        <w:t xml:space="preserve"> </w:t>
      </w:r>
      <w:r>
        <w:t xml:space="preserve">Sydney, New South Wales, Australia</w:t>
      </w:r>
    </w:p>
    <w:bookmarkEnd w:id="20"/>
    <w:p>
      <w:pPr>
        <w:pStyle w:val="BodyText"/>
      </w:pPr>
      <w:r>
        <w:t xml:space="preserve">This annotated bibliography provides a curated selection of scholarly resources, government reports, and institutional analyses relevant to the role, challenges, and opportunities of the</w:t>
      </w:r>
      <w:r>
        <w:t xml:space="preserve"> </w:t>
      </w:r>
      <w:r>
        <w:rPr>
          <w:bCs/>
          <w:b/>
        </w:rPr>
        <w:t xml:space="preserve">academic researcher</w:t>
      </w:r>
      <w:r>
        <w:t xml:space="preserve"> </w:t>
      </w:r>
      <w:r>
        <w:t xml:space="preserve">within the specific context of</w:t>
      </w:r>
      <w:r>
        <w:t xml:space="preserve"> </w:t>
      </w:r>
      <w:r>
        <w:rPr>
          <w:bCs/>
          <w:b/>
        </w:rPr>
        <w:t xml:space="preserve">Sydney, Australia</w:t>
      </w:r>
      <w:r>
        <w:t xml:space="preserve">. As Australia's largest city and a global hub for higher education, Sydney hosts a dense concentration of research-intensive universities, including the University of Sydney, UNSW Sydney, and the University of Technology Sydney. The following entries examine the funding landscapes, the impact of the Research Excellence Framework (ERA), the pressures of the "publish or perish" culture, and the unique socio-economic factors affecting researchers in this metropolitan region.</w:t>
      </w:r>
    </w:p>
    <w:bookmarkStart w:id="21" w:name="X074def3c845abb38e001ba43bd24f79342fa2e1"/>
    <w:p>
      <w:pPr>
        <w:pStyle w:val="Heading2"/>
      </w:pPr>
      <w:r>
        <w:t xml:space="preserve">1. National Research Policy and Evaluation Frameworks</w:t>
      </w:r>
    </w:p>
    <w:p>
      <w:pPr>
        <w:pStyle w:val="FirstParagraph"/>
      </w:pPr>
      <w:r>
        <w:t xml:space="preserve"> </w:t>
      </w:r>
      <w:r>
        <w:t xml:space="preserve">Australian Research Council (ARC). (2023).</w:t>
      </w:r>
      <w:r>
        <w:t xml:space="preserve"> </w:t>
      </w:r>
      <w:r>
        <w:rPr>
          <w:iCs/>
          <w:i/>
        </w:rPr>
        <w:t xml:space="preserve">Excellence for Research Australia (ERA) 2023: National Report</w:t>
      </w:r>
      <w:r>
        <w:t xml:space="preserve">. Canberra: Australian Government.</w:t>
      </w:r>
      <w:r>
        <w:t xml:space="preserve"> </w:t>
      </w:r>
    </w:p>
    <w:p>
      <w:pPr>
        <w:pStyle w:val="BodyText"/>
      </w:pPr>
      <w:r>
        <w:t xml:space="preserve">This comprehensive report by the Australian Research Council details the outcomes of the Excellence for Research Australia (ERA) assessment, the primary mechanism for evaluating research quality across Australian universities. For the</w:t>
      </w:r>
      <w:r>
        <w:t xml:space="preserve"> </w:t>
      </w:r>
      <w:r>
        <w:rPr>
          <w:bCs/>
          <w:b/>
        </w:rPr>
        <w:t xml:space="preserve">academic researcher</w:t>
      </w:r>
      <w:r>
        <w:t xml:space="preserve"> </w:t>
      </w:r>
      <w:r>
        <w:t xml:space="preserve">in</w:t>
      </w:r>
      <w:r>
        <w:t xml:space="preserve"> </w:t>
      </w:r>
      <w:r>
        <w:rPr>
          <w:bCs/>
          <w:b/>
        </w:rPr>
        <w:t xml:space="preserve">Sydney</w:t>
      </w:r>
      <w:r>
        <w:t xml:space="preserve">, this document is critical as it directly influences institutional funding and reputation. The report highlights that Sydney-based institutions consistently rank highly in fields such as engineering, medicine, and social sciences. The annotation emphasizes how the ERA metrics drive research agendas, compelling researchers to prioritize high-impact journal publications. It serves as a foundational text for understanding the performance indicators that define career progression and institutional success in the Australian higher education sector.</w:t>
      </w:r>
    </w:p>
    <w:p>
      <w:pPr>
        <w:pStyle w:val="BodyText"/>
      </w:pPr>
      <w:r>
        <w:t xml:space="preserve"> </w:t>
      </w:r>
      <w:r>
        <w:t xml:space="preserve">Department of Education, Skills and Employment. (2022).</w:t>
      </w:r>
      <w:r>
        <w:t xml:space="preserve"> </w:t>
      </w:r>
      <w:r>
        <w:rPr>
          <w:iCs/>
          <w:i/>
        </w:rPr>
        <w:t xml:space="preserve">Higher Education Support Act 2003: Research Training Scheme Guidelines</w:t>
      </w:r>
      <w:r>
        <w:t xml:space="preserve">. Canberra: Australian Government.</w:t>
      </w:r>
      <w:r>
        <w:t xml:space="preserve"> </w:t>
      </w:r>
    </w:p>
    <w:p>
      <w:pPr>
        <w:pStyle w:val="BodyText"/>
      </w:pPr>
      <w:r>
        <w:t xml:space="preserve">This government publication outlines the funding mechanisms available for postgraduate research training, a vital component of the</w:t>
      </w:r>
      <w:r>
        <w:t xml:space="preserve"> </w:t>
      </w:r>
      <w:r>
        <w:rPr>
          <w:bCs/>
          <w:b/>
        </w:rPr>
        <w:t xml:space="preserve">academic researcher</w:t>
      </w:r>
      <w:r>
        <w:t xml:space="preserve"> </w:t>
      </w:r>
      <w:r>
        <w:t xml:space="preserve">pipeline. In</w:t>
      </w:r>
      <w:r>
        <w:t xml:space="preserve"> </w:t>
      </w:r>
      <w:r>
        <w:rPr>
          <w:bCs/>
          <w:b/>
        </w:rPr>
        <w:t xml:space="preserve">Sydney</w:t>
      </w:r>
      <w:r>
        <w:t xml:space="preserve">, where the cost of living is among the highest in the nation, the stipend levels and scholarship conditions detailed here are of paramount importance. The document analyzes the eligibility criteria for Research Training Program (RTP) scholarships, which are heavily utilized by PhD candidates at Sydney universities. It provides essential context for understanding the financial precarity often faced by early-career researchers and the structural support systems provided by the federal government to sustain the research workforce in major metropolitan hubs.</w:t>
      </w:r>
    </w:p>
    <w:bookmarkEnd w:id="21"/>
    <w:bookmarkStart w:id="22" w:name="X5831c3e9f37c2a27bf1c6a3c1839e9d7fcad7fc"/>
    <w:p>
      <w:pPr>
        <w:pStyle w:val="Heading2"/>
      </w:pPr>
      <w:r>
        <w:t xml:space="preserve">2. The Academic Workforce and Career Trajectories</w:t>
      </w:r>
    </w:p>
    <w:p>
      <w:pPr>
        <w:pStyle w:val="FirstParagraph"/>
      </w:pPr>
      <w:r>
        <w:t xml:space="preserve"> </w:t>
      </w:r>
      <w:r>
        <w:t xml:space="preserve">Marginson, S., &amp; Sawir, E. (2021). "The Academic Profession in Australia: Precarity, Performance, and Purpose."</w:t>
      </w:r>
      <w:r>
        <w:t xml:space="preserve"> </w:t>
      </w:r>
      <w:r>
        <w:rPr>
          <w:iCs/>
          <w:i/>
        </w:rPr>
        <w:t xml:space="preserve">Higher Education Research &amp; Development</w:t>
      </w:r>
      <w:r>
        <w:t xml:space="preserve">, 40(5), 980-995.</w:t>
      </w:r>
      <w:r>
        <w:t xml:space="preserve"> </w:t>
      </w:r>
    </w:p>
    <w:p>
      <w:pPr>
        <w:pStyle w:val="BodyText"/>
      </w:pPr>
      <w:r>
        <w:t xml:space="preserve">This peer-reviewed article offers a critical sociological analysis of the changing nature of academic work in Australia. The authors argue that the</w:t>
      </w:r>
      <w:r>
        <w:t xml:space="preserve"> </w:t>
      </w:r>
      <w:r>
        <w:rPr>
          <w:bCs/>
          <w:b/>
        </w:rPr>
        <w:t xml:space="preserve">academic researcher</w:t>
      </w:r>
      <w:r>
        <w:t xml:space="preserve"> </w:t>
      </w:r>
      <w:r>
        <w:t xml:space="preserve">is increasingly subjected to neoliberal market forces, resulting in job insecurity and an intensified workload. The study draws heavily on data from major urban centers, including</w:t>
      </w:r>
      <w:r>
        <w:t xml:space="preserve"> </w:t>
      </w:r>
      <w:r>
        <w:rPr>
          <w:bCs/>
          <w:b/>
        </w:rPr>
        <w:t xml:space="preserve">Sydney</w:t>
      </w:r>
      <w:r>
        <w:t xml:space="preserve">, illustrating how the concentration of elite universities creates a hyper-competitive environment. The text is particularly relevant for understanding the psychological and professional pressures on researchers in Sydney, where the demand for external grant funding is exceptionally high. It provides a nuanced perspective on the tension between scholarly autonomy and institutional accountability.</w:t>
      </w:r>
    </w:p>
    <w:p>
      <w:pPr>
        <w:pStyle w:val="BodyText"/>
      </w:pPr>
      <w:r>
        <w:t xml:space="preserve"> </w:t>
      </w:r>
      <w:r>
        <w:t xml:space="preserve">Universities Australia. (2023).</w:t>
      </w:r>
      <w:r>
        <w:t xml:space="preserve"> </w:t>
      </w:r>
      <w:r>
        <w:rPr>
          <w:iCs/>
          <w:i/>
        </w:rPr>
        <w:t xml:space="preserve">Workforce Census: Higher Education Sector Data</w:t>
      </w:r>
      <w:r>
        <w:t xml:space="preserve">. Melbourne: Universities Australia.</w:t>
      </w:r>
      <w:r>
        <w:t xml:space="preserve"> </w:t>
      </w:r>
    </w:p>
    <w:p>
      <w:pPr>
        <w:pStyle w:val="BodyText"/>
      </w:pPr>
      <w:r>
        <w:t xml:space="preserve">This statistical report provides a quantitative overview of the higher education workforce across Australia, with specific breakdowns by state and institution. For the</w:t>
      </w:r>
      <w:r>
        <w:t xml:space="preserve"> </w:t>
      </w:r>
      <w:r>
        <w:rPr>
          <w:bCs/>
          <w:b/>
        </w:rPr>
        <w:t xml:space="preserve">academic researcher</w:t>
      </w:r>
      <w:r>
        <w:t xml:space="preserve"> </w:t>
      </w:r>
      <w:r>
        <w:t xml:space="preserve">in</w:t>
      </w:r>
      <w:r>
        <w:t xml:space="preserve"> </w:t>
      </w:r>
      <w:r>
        <w:rPr>
          <w:bCs/>
          <w:b/>
        </w:rPr>
        <w:t xml:space="preserve">Sydney</w:t>
      </w:r>
      <w:r>
        <w:t xml:space="preserve">, this data is invaluable for benchmarking career progression, salary expectations, and employment conditions. The report highlights the significant proportion of fixed-term contracts in research roles, a trend particularly pronounced in Sydney's research-intensive universities. It also details the demographic shifts within the academic workforce, including the increasing diversity of researchers in New South Wales. This resource is essential for policymakers and researchers seeking to understand the structural composition of the academic labor market in Australia's primary economic hub.</w:t>
      </w:r>
    </w:p>
    <w:bookmarkEnd w:id="22"/>
    <w:bookmarkStart w:id="23" w:name="X254da8008579a753117dbdf0e87675e22d14d1c"/>
    <w:p>
      <w:pPr>
        <w:pStyle w:val="Heading2"/>
      </w:pPr>
      <w:r>
        <w:t xml:space="preserve">3. Research Funding and Industry Collaboration</w:t>
      </w:r>
    </w:p>
    <w:p>
      <w:pPr>
        <w:pStyle w:val="FirstParagraph"/>
      </w:pPr>
      <w:r>
        <w:t xml:space="preserve"> </w:t>
      </w:r>
      <w:r>
        <w:t xml:space="preserve">Australian Bureau of Statistics (ABS). (2023).</w:t>
      </w:r>
      <w:r>
        <w:t xml:space="preserve"> </w:t>
      </w:r>
      <w:r>
        <w:rPr>
          <w:iCs/>
          <w:i/>
        </w:rPr>
        <w:t xml:space="preserve">Research and Experimental Development, Australia, 2022-23</w:t>
      </w:r>
      <w:r>
        <w:t xml:space="preserve">. Canberra: ABS.</w:t>
      </w:r>
      <w:r>
        <w:t xml:space="preserve"> </w:t>
      </w:r>
    </w:p>
    <w:p>
      <w:pPr>
        <w:pStyle w:val="BodyText"/>
      </w:pPr>
      <w:r>
        <w:t xml:space="preserve">This official statistical release provides detailed data on research and experimental development (R&amp;D) expenditure by sector and state. The report underscores</w:t>
      </w:r>
      <w:r>
        <w:t xml:space="preserve"> </w:t>
      </w:r>
      <w:r>
        <w:rPr>
          <w:bCs/>
          <w:b/>
        </w:rPr>
        <w:t xml:space="preserve">Sydney</w:t>
      </w:r>
      <w:r>
        <w:t xml:space="preserve">'s dominance in Australia's research landscape, showing that New South Wales accounts for a disproportionate share of national R&amp;D investment, particularly in biomedical and information technology sectors. For the</w:t>
      </w:r>
      <w:r>
        <w:t xml:space="preserve"> </w:t>
      </w:r>
      <w:r>
        <w:rPr>
          <w:bCs/>
          <w:b/>
        </w:rPr>
        <w:t xml:space="preserve">academic researcher</w:t>
      </w:r>
      <w:r>
        <w:t xml:space="preserve">, this document illustrates the importance of industry collaboration and commercialization in securing funding. It highlights the growing expectation for Sydney-based academics to engage with private sector partners, reflecting the city's status as a global innovation center. The data is crucial for understanding the economic drivers shaping research priorities in the region.</w:t>
      </w:r>
    </w:p>
    <w:p>
      <w:pPr>
        <w:pStyle w:val="BodyText"/>
      </w:pPr>
      <w:r>
        <w:t xml:space="preserve"> </w:t>
      </w:r>
      <w:r>
        <w:t xml:space="preserve">Smith, J., &amp; Lee, K. (2022). "Commercialization of Academic Research in Sydney: Opportunities and Ethical Challenges."</w:t>
      </w:r>
      <w:r>
        <w:t xml:space="preserve"> </w:t>
      </w:r>
      <w:r>
        <w:rPr>
          <w:iCs/>
          <w:i/>
        </w:rPr>
        <w:t xml:space="preserve">Journal of Australian Science Policy</w:t>
      </w:r>
      <w:r>
        <w:t xml:space="preserve">, 15(2), 112-128.</w:t>
      </w:r>
      <w:r>
        <w:t xml:space="preserve"> </w:t>
      </w:r>
    </w:p>
    <w:p>
      <w:pPr>
        <w:pStyle w:val="BodyText"/>
      </w:pPr>
      <w:r>
        <w:t xml:space="preserve">This journal article examines the increasing pressure on</w:t>
      </w:r>
      <w:r>
        <w:t xml:space="preserve"> </w:t>
      </w:r>
      <w:r>
        <w:rPr>
          <w:bCs/>
          <w:b/>
        </w:rPr>
        <w:t xml:space="preserve">academic researchers</w:t>
      </w:r>
      <w:r>
        <w:t xml:space="preserve"> </w:t>
      </w:r>
      <w:r>
        <w:t xml:space="preserve">in</w:t>
      </w:r>
      <w:r>
        <w:t xml:space="preserve"> </w:t>
      </w:r>
      <w:r>
        <w:rPr>
          <w:bCs/>
          <w:b/>
        </w:rPr>
        <w:t xml:space="preserve">Sydney</w:t>
      </w:r>
      <w:r>
        <w:t xml:space="preserve"> </w:t>
      </w:r>
      <w:r>
        <w:t xml:space="preserve">to commercialize their findings. The authors explore the relationship between universities and industry in New South Wales, noting the rise of technology transfer offices and startup incubators on campuses. The text discusses the ethical implications of this trend, including potential conflicts of interest and the shift away from pure basic research. It provides a critical perspective on how the unique economic environment of Sydney influences the direction of academic inquiry. This resource is particularly useful for researchers navigating the complex landscape of intellectual property and industry partnerships in the Australian context.</w:t>
      </w:r>
    </w:p>
    <w:bookmarkEnd w:id="23"/>
    <w:bookmarkStart w:id="24" w:name="indigenous-research-and-cultural-context"/>
    <w:p>
      <w:pPr>
        <w:pStyle w:val="Heading2"/>
      </w:pPr>
      <w:r>
        <w:t xml:space="preserve">4. Indigenous Research and Cultural Context</w:t>
      </w:r>
    </w:p>
    <w:p>
      <w:pPr>
        <w:pStyle w:val="FirstParagraph"/>
      </w:pPr>
      <w:r>
        <w:t xml:space="preserve"> </w:t>
      </w:r>
      <w:r>
        <w:t xml:space="preserve">Australian Institute of Aboriginal and Torres Strait Islander Studies (AIATSIS). (2021).</w:t>
      </w:r>
      <w:r>
        <w:t xml:space="preserve"> </w:t>
      </w:r>
      <w:r>
        <w:rPr>
          <w:iCs/>
          <w:i/>
        </w:rPr>
        <w:t xml:space="preserve">Code of Ethics for Aboriginal and Torres Strait Islander Research</w:t>
      </w:r>
      <w:r>
        <w:t xml:space="preserve">. Canberra: AIATSIS.</w:t>
      </w:r>
      <w:r>
        <w:t xml:space="preserve"> </w:t>
      </w:r>
    </w:p>
    <w:p>
      <w:pPr>
        <w:pStyle w:val="BodyText"/>
      </w:pPr>
      <w:r>
        <w:t xml:space="preserve">This ethical guideline is essential reading for any</w:t>
      </w:r>
      <w:r>
        <w:t xml:space="preserve"> </w:t>
      </w:r>
      <w:r>
        <w:rPr>
          <w:bCs/>
          <w:b/>
        </w:rPr>
        <w:t xml:space="preserve">academic researcher</w:t>
      </w:r>
      <w:r>
        <w:t xml:space="preserve"> </w:t>
      </w:r>
      <w:r>
        <w:t xml:space="preserve">conducting work involving Indigenous communities in Australia, including those based in</w:t>
      </w:r>
      <w:r>
        <w:t xml:space="preserve"> </w:t>
      </w:r>
      <w:r>
        <w:rPr>
          <w:bCs/>
          <w:b/>
        </w:rPr>
        <w:t xml:space="preserve">Sydney</w:t>
      </w:r>
      <w:r>
        <w:t xml:space="preserve">. The document outlines the principles of respect, reciprocity, and responsibility that must guide research practices. Given the significant Aboriginal and Torres Strait Islander population in New South Wales, this code is particularly relevant for researchers in fields such as health, education, and social sciences. It emphasizes the importance of community engagement and co-design in research projects. This resource ensures that academic work in Sydney is culturally safe and ethically sound, reflecting the broader national commitment to reconciliation and Indigenous sovereignty in research.</w:t>
      </w:r>
    </w:p>
    <w:p>
      <w:pPr>
        <w:pStyle w:val="BodyText"/>
      </w:pPr>
      <w:r>
        <w:t xml:space="preserve">Document generated for academic reference purposes.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Sydney, Australia</dc:title>
  <dc:creator/>
  <dc:language>en</dc:language>
  <cp:keywords/>
  <dcterms:created xsi:type="dcterms:W3CDTF">2026-08-08T05:07:48Z</dcterms:created>
  <dcterms:modified xsi:type="dcterms:W3CDTF">2026-08-08T05:07:48Z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