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Berlin,</w:t>
      </w:r>
      <w:r>
        <w:t xml:space="preserve"> </w:t>
      </w:r>
      <w:r>
        <w:t xml:space="preserve">Germany</w:t>
      </w:r>
    </w:p>
    <w:bookmarkStart w:id="20" w:name="X1d8476abb9f38805150e135e43bae8f39b86633"/>
    <w:p>
      <w:pPr>
        <w:pStyle w:val="Heading1"/>
      </w:pPr>
      <w:r>
        <w:t xml:space="preserve">Annotated Bibliography: The Academic Researcher in Berlin, Germany</w:t>
      </w:r>
    </w:p>
    <w:p>
      <w:pPr>
        <w:pStyle w:val="FirstParagraph"/>
      </w:pPr>
      <w:r>
        <w:t xml:space="preserve">This document provides a curated selection of scholarly resources, policy documents, and institutional reports relevant to the professional landscape of the academic researcher in Berlin. It addresses funding structures, legal frameworks, and the specific socio-economic environment of the German capital.</w:t>
      </w:r>
    </w:p>
    <w:bookmarkEnd w:id="20"/>
    <w:bookmarkStart w:id="21" w:name="introduction"/>
    <w:p>
      <w:pPr>
        <w:pStyle w:val="Heading2"/>
      </w:pPr>
      <w:r>
        <w:t xml:space="preserve">Introduction</w:t>
      </w:r>
    </w:p>
    <w:p>
      <w:pPr>
        <w:pStyle w:val="FirstParagraph"/>
      </w:pPr>
      <w:r>
        <w:t xml:space="preserve">Berlin has established itself as a premier hub for scientific inquiry within the European Union. For the academic researcher, navigating the ecosystem in Germany Berlin requires an understanding of the unique "Berlin Model" of research, which integrates state funding, federal initiatives, and private endowments. The following annotated bibliography compiles essential texts that define the operational, financial, and cultural context for researchers working in this specific jurisdiction. These sources are critical for understanding the transition from doctoral candidates to independent principal investigators within the German system.</w:t>
      </w:r>
    </w:p>
    <w:bookmarkEnd w:id="21"/>
    <w:bookmarkStart w:id="22" w:name="selected-bibliography"/>
    <w:p>
      <w:pPr>
        <w:pStyle w:val="Heading2"/>
      </w:pPr>
      <w:r>
        <w:t xml:space="preserve">Selected Bibliography</w:t>
      </w:r>
    </w:p>
    <w:p>
      <w:pPr>
        <w:pStyle w:val="FirstParagraph"/>
      </w:pPr>
      <w:r>
        <w:t xml:space="preserve">German Research Foundation (DFG). (2023).</w:t>
      </w:r>
      <w:r>
        <w:t xml:space="preserve"> </w:t>
      </w:r>
      <w:r>
        <w:rPr>
          <w:iCs/>
          <w:i/>
        </w:rPr>
        <w:t xml:space="preserve">Strategic Plan 2023–2027: Excellence and Responsibility.</w:t>
      </w:r>
      <w:r>
        <w:t xml:space="preserve"> </w:t>
      </w:r>
      <w:r>
        <w:t xml:space="preserve">Bonn: DFG.</w:t>
      </w:r>
    </w:p>
    <w:p>
      <w:pPr>
        <w:pStyle w:val="BodyText"/>
      </w:pPr>
      <w:r>
        <w:t xml:space="preserve">This strategic document is fundamental for any academic researcher in Germany Berlin. It outlines the priorities of the DFG, the primary funding body for basic research in Germany. The text details the criteria for "Excellence Strategy" funding, which is heavily concentrated in Berlin through institutions like Humboldt-Universität zu Berlin and Freie Universität Berlin. For the researcher, this source is vital for understanding how to structure grant proposals to align with national goals. It emphasizes the shift towards interdisciplinary collaboration and open science, reflecting the current demands of the German academic market.</w:t>
      </w:r>
    </w:p>
    <w:p>
      <w:pPr>
        <w:pStyle w:val="BodyText"/>
      </w:pPr>
      <w:r>
        <w:t xml:space="preserve">Wissenschaftsrat (German Science Council). (2022).</w:t>
      </w:r>
      <w:r>
        <w:t xml:space="preserve"> </w:t>
      </w:r>
      <w:r>
        <w:rPr>
          <w:iCs/>
          <w:i/>
        </w:rPr>
        <w:t xml:space="preserve">Standards for the Professionalization of Doctoral Training in Germany.</w:t>
      </w:r>
      <w:r>
        <w:t xml:space="preserve"> </w:t>
      </w:r>
      <w:r>
        <w:t xml:space="preserve">Bonn: Wissenschaftsrat.</w:t>
      </w:r>
    </w:p>
    <w:p>
      <w:pPr>
        <w:pStyle w:val="BodyText"/>
      </w:pPr>
      <w:r>
        <w:t xml:space="preserve">The Wissenschaftsrat serves as the central advisory body for the federal and state governments on matters of science and research. This report is crucial for early-career researchers in Berlin. It defines the legal and pedagogical standards for doctoral studies, distinguishing between traditional individual doctorates and structured graduate schools. Given Berlin's high density of graduate programs, this text provides the regulatory framework that researchers must navigate. It addresses career development, supervision quality, and the transition from academia to industry, offering a roadmap for professional growth within the German system.</w:t>
      </w:r>
    </w:p>
    <w:p>
      <w:pPr>
        <w:pStyle w:val="BodyText"/>
      </w:pPr>
      <w:r>
        <w:t xml:space="preserve">Senate Department for Science, Research and Cultural Affairs Berlin. (2023).</w:t>
      </w:r>
      <w:r>
        <w:t xml:space="preserve"> </w:t>
      </w:r>
      <w:r>
        <w:rPr>
          <w:iCs/>
          <w:i/>
        </w:rPr>
        <w:t xml:space="preserve">Berlin Science Report 2023: Innovation and Internationalization.</w:t>
      </w:r>
      <w:r>
        <w:t xml:space="preserve"> </w:t>
      </w:r>
      <w:r>
        <w:t xml:space="preserve">Berlin: SenWFK.</w:t>
      </w:r>
    </w:p>
    <w:p>
      <w:pPr>
        <w:pStyle w:val="BodyText"/>
      </w:pPr>
      <w:r>
        <w:t xml:space="preserve">This official report provides a comprehensive statistical and qualitative overview of the research landscape specifically in Berlin. It is an indispensable resource for understanding the local context. The document highlights Berlin's strengths in life sciences, digital humanities, and engineering. For the academic researcher, it offers data on funding distribution by district, collaboration networks between Berlin universities and the Max Planck Society, and the impact of the city's startup ecosystem on academic spin-offs. It contextualizes the researcher's role within the broader economic strategy of the city-state.</w:t>
      </w:r>
    </w:p>
    <w:p>
      <w:pPr>
        <w:pStyle w:val="BodyText"/>
      </w:pPr>
      <w:r>
        <w:t xml:space="preserve">European Commission. (2021).</w:t>
      </w:r>
      <w:r>
        <w:t xml:space="preserve"> </w:t>
      </w:r>
      <w:r>
        <w:rPr>
          <w:iCs/>
          <w:i/>
        </w:rPr>
        <w:t xml:space="preserve">Horizon Europe: A Guide for Researchers and Innovators.</w:t>
      </w:r>
      <w:r>
        <w:t xml:space="preserve"> </w:t>
      </w:r>
      <w:r>
        <w:t xml:space="preserve">Brussels: Publications Office of the European Union.</w:t>
      </w:r>
    </w:p>
    <w:p>
      <w:pPr>
        <w:pStyle w:val="BodyText"/>
      </w:pPr>
      <w:r>
        <w:t xml:space="preserve">While a European document, this guide is critical for researchers in Germany Berlin due to the city's status as a major beneficiary of EU funding. Berlin-based institutions are consistently top performers in Horizon Europe grants. This text explains the application mechanisms, evaluation criteria, and consortium-building strategies required to secure these funds. For the academic researcher, mastering the content of this guide is often a prerequisite for tenure-track positions in Berlin, as international funding capability is a key metric for institutional success and individual career advancement.</w:t>
      </w:r>
    </w:p>
    <w:p>
      <w:pPr>
        <w:pStyle w:val="BodyText"/>
      </w:pPr>
      <w:r>
        <w:t xml:space="preserve">Gewerkschaft Erziehung und Wissenschaft (GEW). (2022).</w:t>
      </w:r>
      <w:r>
        <w:t xml:space="preserve"> </w:t>
      </w:r>
      <w:r>
        <w:rPr>
          <w:iCs/>
          <w:i/>
        </w:rPr>
        <w:t xml:space="preserve">Working Conditions of Academic Staff in Germany: Challenges and Perspectives.</w:t>
      </w:r>
      <w:r>
        <w:t xml:space="preserve"> </w:t>
      </w:r>
      <w:r>
        <w:t xml:space="preserve">Berlin: GEW Bundesvorstand.</w:t>
      </w:r>
    </w:p>
    <w:p>
      <w:pPr>
        <w:pStyle w:val="BodyText"/>
      </w:pPr>
      <w:r>
        <w:t xml:space="preserve">This publication by the major trade union for education and science in Germany addresses the socio-economic realities of the academic researcher. It focuses on the prevalence of fixed-term contracts, salary structures (TV-L), and the precarious nature of early-career positions. For a researcher in Berlin, where the cost of living has risen significantly, this text provides necessary context regarding labor rights and collective bargaining. It is a practical resource for understanding the contractual landscape and advocating for better working conditions within German universities.</w:t>
      </w:r>
    </w:p>
    <w:p>
      <w:pPr>
        <w:pStyle w:val="BodyText"/>
      </w:pPr>
      <w:r>
        <w:t xml:space="preserve">Max Planck Society. (2023).</w:t>
      </w:r>
      <w:r>
        <w:t xml:space="preserve"> </w:t>
      </w:r>
      <w:r>
        <w:rPr>
          <w:iCs/>
          <w:i/>
        </w:rPr>
        <w:t xml:space="preserve">Research Integrity and Good Scientific Practice.</w:t>
      </w:r>
      <w:r>
        <w:t xml:space="preserve"> </w:t>
      </w:r>
      <w:r>
        <w:t xml:space="preserve">Munich: Max Planck Society.</w:t>
      </w:r>
    </w:p>
    <w:p>
      <w:pPr>
        <w:pStyle w:val="BodyText"/>
      </w:pPr>
      <w:r>
        <w:t xml:space="preserve">With numerous Max Planck Institutes located in Berlin, this code of conduct is highly relevant. It sets the gold standard for research integrity in Germany. The document outlines strict protocols for data management, authorship attribution, and conflict of interest. For the academic researcher, adherence to these standards is not merely ethical but procedural; violations can lead to the revocation of funding and employment. This source is essential for ensuring that research conducted in Berlin meets the rigorous expectations of the German scientific community and international partners.</w:t>
      </w:r>
    </w:p>
    <w:p>
      <w:pPr>
        <w:pStyle w:val="BodyText"/>
      </w:pPr>
      <w:r>
        <w:t xml:space="preserve">Humboldt Forum for Cultural Dialogue. (2021).</w:t>
      </w:r>
      <w:r>
        <w:t xml:space="preserve"> </w:t>
      </w:r>
      <w:r>
        <w:rPr>
          <w:iCs/>
          <w:i/>
        </w:rPr>
        <w:t xml:space="preserve">The Humboldt Idea: Interdisciplinary Research in the Modern Era.</w:t>
      </w:r>
      <w:r>
        <w:t xml:space="preserve"> </w:t>
      </w:r>
      <w:r>
        <w:t xml:space="preserve">Berlin: Humboldt Forum.</w:t>
      </w:r>
    </w:p>
    <w:p>
      <w:pPr>
        <w:pStyle w:val="BodyText"/>
      </w:pPr>
      <w:r>
        <w:t xml:space="preserve">This text explores the philosophical and practical legacy of Wilhelm von Humboldt, whose educational ideals underpin the German university system. For the academic researcher in Berlin, this is a cultural touchstone. It discusses the integration of teaching and research and the importance of intellectual freedom. Understanding this historical context is valuable for researchers engaging in humanities and social sciences, as it informs the institutional culture of Berlin's oldest universities and shapes the expectations of academic autonomy and responsibility.</w:t>
      </w:r>
    </w:p>
    <w:p>
      <w:pPr>
        <w:pStyle w:val="BodyText"/>
      </w:pPr>
      <w:r>
        <w:t xml:space="preserve">Berlin Institute of Health (BIH). (2022).</w:t>
      </w:r>
      <w:r>
        <w:t xml:space="preserve"> </w:t>
      </w:r>
      <w:r>
        <w:rPr>
          <w:iCs/>
          <w:i/>
        </w:rPr>
        <w:t xml:space="preserve">Translational Medicine: Bridging the Gap Between Lab and Clinic.</w:t>
      </w:r>
      <w:r>
        <w:t xml:space="preserve"> </w:t>
      </w:r>
      <w:r>
        <w:t xml:space="preserve">Berlin: BIH.</w:t>
      </w:r>
    </w:p>
    <w:p>
      <w:pPr>
        <w:pStyle w:val="BodyText"/>
      </w:pPr>
      <w:r>
        <w:t xml:space="preserve">This report highlights Berlin's specific strength in medical and health research. It details the collaborative model between Charité – Universitätsmedizin Berlin and other research institutions. For the academic researcher in the life sciences, this document illustrates the pathway for translational research in Germany. It emphasizes the importance of clinical partnerships and regulatory compliance within the German healthcare system. It serves as a model for how Berlin facilitates the commercialization of academic research, a key aspect of the modern researcher's portfolio.</w:t>
      </w:r>
    </w:p>
    <w:bookmarkEnd w:id="22"/>
    <w:bookmarkStart w:id="23" w:name="conclusion"/>
    <w:p>
      <w:pPr>
        <w:pStyle w:val="Heading2"/>
      </w:pPr>
      <w:r>
        <w:t xml:space="preserve">Conclusion</w:t>
      </w:r>
    </w:p>
    <w:p>
      <w:pPr>
        <w:pStyle w:val="FirstParagraph"/>
      </w:pPr>
      <w:r>
        <w:t xml:space="preserve">The academic researcher in Germany Berlin operates within a complex but highly supportive ecosystem. The resources listed above provide a comprehensive framework for understanding the funding mechanisms, legal obligations, and cultural expectations of this environment. From the strategic directives of the DFG to the labor rights outlined by the GEW, these texts collectively define the professional reality of conducting research in the German capital. Mastery of this literature is essential for any scholar seeking to establish a sustainable and impactful career in Berlin.</w:t>
      </w:r>
    </w:p>
    <w:bookmarkEnd w:id="23"/>
    <w:p>
      <w:pPr>
        <w:pStyle w:val="BodyText"/>
      </w:pPr>
      <w:r>
        <w:t xml:space="preserve">© 2023 Academic Research Bibliography. Prepared for the Berlin Research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Berlin, Germany</dc:title>
  <dc:creator/>
  <dc:language>en</dc:language>
  <cp:keywords/>
  <dcterms:created xsi:type="dcterms:W3CDTF">2026-08-07T20:43:37Z</dcterms:created>
  <dcterms:modified xsi:type="dcterms:W3CDTF">2026-08-07T20:43:37Z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