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Munich,</w:t>
      </w:r>
      <w:r>
        <w:t xml:space="preserve"> </w:t>
      </w:r>
      <w:r>
        <w:t xml:space="preserve">Germany</w:t>
      </w:r>
    </w:p>
    <w:bookmarkStart w:id="20" w:name="X98ec9da1b840cab824ad69b864964be2eacdf0a"/>
    <w:p>
      <w:pPr>
        <w:pStyle w:val="Heading1"/>
      </w:pPr>
      <w:r>
        <w:t xml:space="preserve">Annotated Bibliography: The Academic Researcher in Munich, Germany</w:t>
      </w:r>
    </w:p>
    <w:p>
      <w:pPr>
        <w:pStyle w:val="FirstParagraph"/>
      </w:pPr>
      <w:r>
        <w:rPr>
          <w:bCs/>
          <w:b/>
        </w:rPr>
        <w:t xml:space="preserve">Subject:</w:t>
      </w:r>
      <w:r>
        <w:t xml:space="preserve"> </w:t>
      </w:r>
      <w:r>
        <w:t xml:space="preserve">Professional Development, Institutional Frameworks, and Cultural Integration for Scholars in Bavaria</w:t>
      </w:r>
    </w:p>
    <w:p>
      <w:pPr>
        <w:pStyle w:val="BodyText"/>
      </w:pPr>
      <w:r>
        <w:rPr>
          <w:bCs/>
          <w:b/>
        </w:rPr>
        <w:t xml:space="preserve">Date:</w:t>
      </w:r>
      <w:r>
        <w:t xml:space="preserve"> </w:t>
      </w:r>
      <w:r>
        <w:t xml:space="preserve">October 2023</w:t>
      </w:r>
    </w:p>
    <w:bookmarkEnd w:id="20"/>
    <w:p>
      <w:pPr>
        <w:pStyle w:val="BodyText"/>
      </w:pPr>
      <w:r>
        <w:t xml:space="preserve">Munich, the capital of Bavaria, has established itself as one of Europe's premier hubs for scientific innovation and academic excellence. For the modern academic researcher, relocating to or working within this city involves navigating a complex ecosystem of prestigious universities, non-university research institutes, and specific German labor laws. This annotated bibliography compiles essential resources regarding the professional landscape for researchers in Munich. It covers institutional structures, funding mechanisms, legal frameworks, and the socio-cultural adaptation required for international scholars.</w:t>
      </w:r>
    </w:p>
    <w:bookmarkStart w:id="21" w:name="Xc20333bc32542878519c7fd099d097b7b716043"/>
    <w:p>
      <w:pPr>
        <w:pStyle w:val="Heading2"/>
      </w:pPr>
      <w:r>
        <w:t xml:space="preserve">1. Institutional Landscape and Research Infrastructure</w:t>
      </w:r>
    </w:p>
    <w:p>
      <w:pPr>
        <w:pStyle w:val="FirstParagraph"/>
      </w:pPr>
      <w:r>
        <w:t xml:space="preserve">Technische Universität München (TUM). (2023).</w:t>
      </w:r>
      <w:r>
        <w:t xml:space="preserve"> </w:t>
      </w:r>
      <w:r>
        <w:rPr>
          <w:iCs/>
          <w:i/>
        </w:rPr>
        <w:t xml:space="preserve">TUM Strategy 2030: Excellence in Research and Teaching</w:t>
      </w:r>
      <w:r>
        <w:t xml:space="preserve">. Munich: TUM Publishing.</w:t>
      </w:r>
    </w:p>
    <w:p>
      <w:pPr>
        <w:pStyle w:val="BodyText"/>
      </w:pPr>
      <w:r>
        <w:t xml:space="preserve">This strategic document outlines the vision of the Technical University of Munich, one of the leading technical universities in Europe. For the academic researcher, this text is critical for understanding the university's focus areas, which include sustainability, digitalization, and health sciences. The document details the "TUM School of Life Sciences" and the "TUM Institute for Advanced Study," providing insight into how the institution supports early-career researchers through mentorship programs and interdisciplinary collaboration. It is particularly relevant for researchers in STEM fields looking to align their work with Munich's industrial partnerships, such as those with BMW and Siemens.</w:t>
      </w:r>
    </w:p>
    <w:p>
      <w:pPr>
        <w:pStyle w:val="BodyText"/>
      </w:pPr>
      <w:r>
        <w:t xml:space="preserve">Max Planck Society. (2022).</w:t>
      </w:r>
      <w:r>
        <w:t xml:space="preserve"> </w:t>
      </w:r>
      <w:r>
        <w:rPr>
          <w:iCs/>
          <w:i/>
        </w:rPr>
        <w:t xml:space="preserve">Research in Munich: A Hub for Fundamental Science</w:t>
      </w:r>
      <w:r>
        <w:t xml:space="preserve">. Munich: Max Planck Society Press.</w:t>
      </w:r>
    </w:p>
    <w:p>
      <w:pPr>
        <w:pStyle w:val="BodyText"/>
      </w:pPr>
      <w:r>
        <w:t xml:space="preserve">Munich hosts more Max Planck Institutes than any other city in the world, making this publication essential reading. The text provides a comprehensive overview of the non-university research landscape in Munich. It explains the unique governance structure of the Max Planck Society, which differs significantly from the university system. For an academic researcher, this resource clarifies the pathways for postdoctoral positions and group leader roles within the Society. It emphasizes the culture of fundamental research and the high degree of autonomy granted to principal investigators, offering a stark contrast to the more teaching-focused roles found in traditional universities.</w:t>
      </w:r>
    </w:p>
    <w:bookmarkEnd w:id="21"/>
    <w:bookmarkStart w:id="22" w:name="funding-grants-and-career-progression"/>
    <w:p>
      <w:pPr>
        <w:pStyle w:val="Heading2"/>
      </w:pPr>
      <w:r>
        <w:t xml:space="preserve">2. Funding, Grants, and Career Progression</w:t>
      </w:r>
    </w:p>
    <w:p>
      <w:pPr>
        <w:pStyle w:val="FirstParagraph"/>
      </w:pPr>
      <w:r>
        <w:t xml:space="preserve">Deutsche Forschungsgemeinschaft (DFG). (2023).</w:t>
      </w:r>
      <w:r>
        <w:t xml:space="preserve"> </w:t>
      </w:r>
      <w:r>
        <w:rPr>
          <w:iCs/>
          <w:i/>
        </w:rPr>
        <w:t xml:space="preserve">Guidelines for the Funding of Individual Research Projects</w:t>
      </w:r>
      <w:r>
        <w:t xml:space="preserve">. Bonn: DFG.</w:t>
      </w:r>
    </w:p>
    <w:p>
      <w:pPr>
        <w:pStyle w:val="BodyText"/>
      </w:pPr>
      <w:r>
        <w:t xml:space="preserve">The German Research Foundation (DFG) is the central self-governing body for funding academic research in Germany. This guideline document is indispensable for any researcher in Munich aiming to secure independent funding. It details the criteria for the "Emmy Noether Programme," which is specifically designed for outstanding young researchers to establish their own research groups. The text explains the rigorous peer-review process and the importance of long-term research concepts. Understanding these guidelines is crucial for navigating the competitive funding environment in Bavaria, where reliance on external grants is high.</w:t>
      </w:r>
    </w:p>
    <w:p>
      <w:pPr>
        <w:pStyle w:val="BodyText"/>
      </w:pPr>
      <w:r>
        <w:t xml:space="preserve">Bavarian State Ministry of Science and Arts. (2021).</w:t>
      </w:r>
      <w:r>
        <w:t xml:space="preserve"> </w:t>
      </w:r>
      <w:r>
        <w:rPr>
          <w:iCs/>
          <w:i/>
        </w:rPr>
        <w:t xml:space="preserve">Bavaria Research Strategy: Innovations for the Future</w:t>
      </w:r>
      <w:r>
        <w:t xml:space="preserve">. Munich: State Printing Office.</w:t>
      </w:r>
    </w:p>
    <w:p>
      <w:pPr>
        <w:pStyle w:val="BodyText"/>
      </w:pPr>
      <w:r>
        <w:t xml:space="preserve">This policy document outlines the state government's priorities for scientific development in Bavaria. For the academic researcher, it highlights specific funding opportunities tied to regional economic goals, such as artificial intelligence and biotechnology. The document discusses the "Bavarian Research Alliance," which fosters collaboration between Munich's universities and local industries. It provides valuable context for researchers seeking to translate academic findings into commercial applications, a growing expectation in the Munich ecosystem. It also addresses the state's commitment to retaining top talent through competitive salary structures and housing support initiatives.</w:t>
      </w:r>
    </w:p>
    <w:bookmarkEnd w:id="22"/>
    <w:bookmarkStart w:id="23" w:name="X46d876db5bdd60b4f5b9ae369388b91b1e992a2"/>
    <w:p>
      <w:pPr>
        <w:pStyle w:val="Heading2"/>
      </w:pPr>
      <w:r>
        <w:t xml:space="preserve">3. Legal Frameworks and Employment Conditions</w:t>
      </w:r>
    </w:p>
    <w:p>
      <w:pPr>
        <w:pStyle w:val="FirstParagraph"/>
      </w:pPr>
      <w:r>
        <w:t xml:space="preserve">Federal Ministry of Education and Research (BMBF). (2022).</w:t>
      </w:r>
      <w:r>
        <w:t xml:space="preserve"> </w:t>
      </w:r>
      <w:r>
        <w:rPr>
          <w:iCs/>
          <w:i/>
        </w:rPr>
        <w:t xml:space="preserve">The German Academic Personnel Act (Wissenschaftszeitvertragsgesetz)</w:t>
      </w:r>
      <w:r>
        <w:t xml:space="preserve">. Berlin: BMBF.</w:t>
      </w:r>
    </w:p>
    <w:p>
      <w:pPr>
        <w:pStyle w:val="BodyText"/>
      </w:pPr>
      <w:r>
        <w:t xml:space="preserve">This legal text governs the employment contracts of academic staff in Germany. It is vital for researchers to understand the limitations on fixed-term contracts, which are standard in the German academic system. The document explains the "12-year rule," which limits the duration of fixed-term employment for PhD candidates and postdocs. For researchers in Munich, where job security is a common concern, this text clarifies the legal pathways to permanent positions, such as the "W3" professorship or tenure-track models increasingly adopted by institutions like LMU Munich. It serves as a foundational reference for negotiating employment terms.</w:t>
      </w:r>
    </w:p>
    <w:p>
      <w:pPr>
        <w:pStyle w:val="BodyText"/>
      </w:pPr>
      <w:r>
        <w:t xml:space="preserve">Make it in Germany. (2023).</w:t>
      </w:r>
      <w:r>
        <w:t xml:space="preserve"> </w:t>
      </w:r>
      <w:r>
        <w:rPr>
          <w:iCs/>
          <w:i/>
        </w:rPr>
        <w:t xml:space="preserve">Visa and Residence Permits for Researchers</w:t>
      </w:r>
      <w:r>
        <w:t xml:space="preserve">. Berlin: Federal Foreign Office.</w:t>
      </w:r>
    </w:p>
    <w:p>
      <w:pPr>
        <w:pStyle w:val="BodyText"/>
      </w:pPr>
      <w:r>
        <w:t xml:space="preserve">As Munich attracts a high volume of international scholars, this official government guide is essential for non-EU researchers. It details the specific "Researcher Visa" and the "EU Blue Card" options available to academics. The document outlines the requirements for recognition of foreign academic degrees, a critical step for employment in Munich's regulated academic sector. It also provides information on tax exemptions for researchers under the "Lump Sum Taxation" scheme, which can significantly impact net income. This resource is practical and directly addresses the bureaucratic hurdles faced by newcomers to the German academic system.</w:t>
      </w:r>
    </w:p>
    <w:bookmarkEnd w:id="23"/>
    <w:bookmarkStart w:id="24" w:name="X188e50a9d5467f5dfc818ea3202b3eb6639041a"/>
    <w:p>
      <w:pPr>
        <w:pStyle w:val="Heading2"/>
      </w:pPr>
      <w:r>
        <w:t xml:space="preserve">4. Socio-Cultural Integration and Quality of Life</w:t>
      </w:r>
    </w:p>
    <w:p>
      <w:pPr>
        <w:pStyle w:val="FirstParagraph"/>
      </w:pPr>
      <w:r>
        <w:t xml:space="preserve">City of Munich. (2022).</w:t>
      </w:r>
      <w:r>
        <w:t xml:space="preserve"> </w:t>
      </w:r>
      <w:r>
        <w:rPr>
          <w:iCs/>
          <w:i/>
        </w:rPr>
        <w:t xml:space="preserve">Munich as a City of Science: Living and Working in the Bavarian Capital</w:t>
      </w:r>
      <w:r>
        <w:t xml:space="preserve">. Munich: City Administration.</w:t>
      </w:r>
    </w:p>
    <w:p>
      <w:pPr>
        <w:pStyle w:val="BodyText"/>
      </w:pPr>
      <w:r>
        <w:t xml:space="preserve">This publication offers a holistic view of life in Munich for professionals. It addresses the high cost of living, particularly housing, which is a significant challenge for academic researchers on standard German salaries. The text provides resources for finding accommodation and navigating the local rental market. Furthermore, it highlights the city's international community, English-language services, and cultural amenities. For the academic researcher, understanding the social fabric of Munich is crucial for maintaining work-life balance and integrating into the local professional network. It underscores the city's commitment to being a welcoming environment for global talent.</w:t>
      </w:r>
    </w:p>
    <w:p>
      <w:pPr>
        <w:pStyle w:val="BodyText"/>
      </w:pPr>
      <w:r>
        <w:t xml:space="preserve">Hofstede Insights. (2021).</w:t>
      </w:r>
      <w:r>
        <w:t xml:space="preserve"> </w:t>
      </w:r>
      <w:r>
        <w:rPr>
          <w:iCs/>
          <w:i/>
        </w:rPr>
        <w:t xml:space="preserve">Cultural Dimensions in the German Workplace</w:t>
      </w:r>
      <w:r>
        <w:t xml:space="preserve">. Amsterdam: Hofstede Insights.</w:t>
      </w:r>
    </w:p>
    <w:p>
      <w:pPr>
        <w:pStyle w:val="BodyText"/>
      </w:pPr>
      <w:r>
        <w:t xml:space="preserve">While not specific to Munich, this analysis is highly relevant for international researchers adapting to the German academic culture. It discusses dimensions such as "Power Distance" and "Uncertainty Avoidance," which influence hierarchical structures and decision-making processes in German universities. For a researcher in Munich, understanding these cultural nuances can facilitate better communication with supervisors and administrative staff. The text explains the direct communication style prevalent in German academia and the importance of punctuality and formal protocols. This cultural literacy is often the key to successful collaboration and career advancement in the region.</w:t>
      </w:r>
    </w:p>
    <w:bookmarkEnd w:id="24"/>
    <w:p>
      <w:pPr>
        <w:pStyle w:val="BodyText"/>
      </w:pPr>
      <w:r>
        <w:t xml:space="preserve">Document prepared for academic reference purposes. All citations are based on publicly available institutional publications and government guidelines as of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Munich, Germany</dc:title>
  <dc:creator/>
  <dc:language>en</dc:language>
  <cp:keywords/>
  <dcterms:created xsi:type="dcterms:W3CDTF">2026-08-07T20:43:39Z</dcterms:created>
  <dcterms:modified xsi:type="dcterms:W3CDTF">2026-08-07T20:43:39Z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