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Barcelona,</w:t>
      </w:r>
      <w:r>
        <w:t xml:space="preserve"> </w:t>
      </w:r>
      <w:r>
        <w:t xml:space="preserve">Spain</w:t>
      </w:r>
    </w:p>
    <w:bookmarkStart w:id="20" w:name="Xf6582a491da0592e2f3de8b90bb66369f0656b4"/>
    <w:p>
      <w:pPr>
        <w:pStyle w:val="Heading1"/>
      </w:pPr>
      <w:r>
        <w:t xml:space="preserve">Annotated Bibliography: The Academic Researcher in Barcelona, Spain</w:t>
      </w:r>
    </w:p>
    <w:p>
      <w:pPr>
        <w:pStyle w:val="FirstParagraph"/>
      </w:pPr>
      <w:r>
        <w:rPr>
          <w:bCs/>
          <w:b/>
        </w:rPr>
        <w:t xml:space="preserve">Subject:</w:t>
      </w:r>
      <w:r>
        <w:t xml:space="preserve"> </w:t>
      </w:r>
      <w:r>
        <w:t xml:space="preserve">Higher Education, Research Policy, and Academic Mobility</w:t>
      </w:r>
      <w:r>
        <w:br/>
      </w:r>
      <w:r>
        <w:rPr>
          <w:bCs/>
          <w:b/>
        </w:rPr>
        <w:t xml:space="preserve">Region:</w:t>
      </w:r>
      <w:r>
        <w:t xml:space="preserve"> </w:t>
      </w:r>
      <w:r>
        <w:t xml:space="preserve">Catalonia, Spain</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professional landscape of the</w:t>
      </w:r>
      <w:r>
        <w:t xml:space="preserve"> </w:t>
      </w:r>
      <w:r>
        <w:rPr>
          <w:bCs/>
          <w:b/>
        </w:rPr>
        <w:t xml:space="preserve">Academic Researcher</w:t>
      </w:r>
      <w:r>
        <w:t xml:space="preserve"> </w:t>
      </w:r>
      <w:r>
        <w:t xml:space="preserve">within the specific context of</w:t>
      </w:r>
      <w:r>
        <w:t xml:space="preserve"> </w:t>
      </w:r>
      <w:r>
        <w:rPr>
          <w:bCs/>
          <w:b/>
        </w:rPr>
        <w:t xml:space="preserve">Spain Barcelona</w:t>
      </w:r>
      <w:r>
        <w:t xml:space="preserve">. As a premier hub for scientific innovation in Southern Europe, Barcelona presents a unique ecosystem characterized by the intersection of public university systems, private biomedical institutes, and European Union funding mechanisms. The selected sources below analyze the structural challenges, funding opportunities, and cultural dynamics that define the career trajectory of researchers operating in this region.</w:t>
      </w:r>
    </w:p>
    <w:bookmarkStart w:id="21" w:name="research-policy-and-funding-structures"/>
    <w:p>
      <w:pPr>
        <w:pStyle w:val="Heading2"/>
      </w:pPr>
      <w:r>
        <w:t xml:space="preserve">Research Policy and Funding Structures</w:t>
      </w:r>
    </w:p>
    <w:p>
      <w:pPr>
        <w:pStyle w:val="FirstParagraph"/>
      </w:pPr>
      <w:r>
        <w:t xml:space="preserve"> </w:t>
      </w:r>
      <w:r>
        <w:t xml:space="preserve">European Commission. (2022).</w:t>
      </w:r>
      <w:r>
        <w:t xml:space="preserve"> </w:t>
      </w:r>
      <w:r>
        <w:rPr>
          <w:iCs/>
          <w:i/>
        </w:rPr>
        <w:t xml:space="preserve">Horizon Europe: The EU’s Framework Programme for Research and Innovation</w:t>
      </w:r>
      <w:r>
        <w:t xml:space="preserve">. Brussels: Publications Office of the European Union.</w:t>
      </w:r>
      <w:r>
        <w:t xml:space="preserve"> </w:t>
      </w:r>
    </w:p>
    <w:p>
      <w:pPr>
        <w:pStyle w:val="BodyText"/>
      </w:pPr>
      <w:r>
        <w:t xml:space="preserve">This foundational document outlines the primary financial engine for the modern</w:t>
      </w:r>
      <w:r>
        <w:t xml:space="preserve"> </w:t>
      </w:r>
      <w:r>
        <w:rPr>
          <w:bCs/>
          <w:b/>
        </w:rPr>
        <w:t xml:space="preserve">Academic Researcher</w:t>
      </w:r>
      <w:r>
        <w:t xml:space="preserve"> </w:t>
      </w:r>
      <w:r>
        <w:t xml:space="preserve">in Europe. For professionals in</w:t>
      </w:r>
      <w:r>
        <w:t xml:space="preserve"> </w:t>
      </w:r>
      <w:r>
        <w:rPr>
          <w:bCs/>
          <w:b/>
        </w:rPr>
        <w:t xml:space="preserve">Spain Barcelona</w:t>
      </w:r>
      <w:r>
        <w:t xml:space="preserve">, this text is critical as the city hosts numerous nodes of the European Research Area. The bibliography highlights how Barcelona-based institutions, such as the Autonomous University of Barcelona (UAB) and the Polytechnic University of Catalonia (UPC), leverage these funds. The text details the shift toward mission-oriented research, which directly impacts how researchers in Barcelona must frame their proposals to secure grants in biotechnology, climate change, and digital transformation.</w:t>
      </w:r>
    </w:p>
    <w:p>
      <w:pPr>
        <w:pStyle w:val="BodyText"/>
      </w:pPr>
      <w:r>
        <w:t xml:space="preserve"> </w:t>
      </w:r>
      <w:r>
        <w:t xml:space="preserve">Ministerio de Ciencia, Innovación y Universidades. (2021).</w:t>
      </w:r>
      <w:r>
        <w:t xml:space="preserve"> </w:t>
      </w:r>
      <w:r>
        <w:rPr>
          <w:iCs/>
          <w:i/>
        </w:rPr>
        <w:t xml:space="preserve">Plan Nacional de Investigación Científica, Desarrollo e Innovación Tecnológica (PN I+D+i) 2021-2023</w:t>
      </w:r>
      <w:r>
        <w:t xml:space="preserve">. Madrid: Gobierno de España.</w:t>
      </w:r>
      <w:r>
        <w:t xml:space="preserve"> </w:t>
      </w:r>
    </w:p>
    <w:p>
      <w:pPr>
        <w:pStyle w:val="BodyText"/>
      </w:pPr>
      <w:r>
        <w:t xml:space="preserve">This national policy document provides the regulatory framework within which the</w:t>
      </w:r>
      <w:r>
        <w:t xml:space="preserve"> </w:t>
      </w:r>
      <w:r>
        <w:rPr>
          <w:bCs/>
          <w:b/>
        </w:rPr>
        <w:t xml:space="preserve">Academic Researcher</w:t>
      </w:r>
      <w:r>
        <w:t xml:space="preserve"> </w:t>
      </w:r>
      <w:r>
        <w:t xml:space="preserve">in Spain must operate. While national in scope, its implementation is heavily felt in</w:t>
      </w:r>
      <w:r>
        <w:t xml:space="preserve"> </w:t>
      </w:r>
      <w:r>
        <w:rPr>
          <w:bCs/>
          <w:b/>
        </w:rPr>
        <w:t xml:space="preserve">Spain Barcelona</w:t>
      </w:r>
      <w:r>
        <w:t xml:space="preserve">, where the concentration of research centers is highest. The document details the "Ramón y Cajal" and "Juan de la Cierva" fellowships, which are pivotal career steps for early-career researchers in the region. It offers insight into the bureaucratic requirements and evaluation metrics that define academic success in the Spanish system, distinguishing it from other European models.</w:t>
      </w:r>
    </w:p>
    <w:bookmarkEnd w:id="21"/>
    <w:bookmarkStart w:id="22" w:name="X7dc389f3e42a98fe778b5c69e323134f0702863"/>
    <w:p>
      <w:pPr>
        <w:pStyle w:val="Heading2"/>
      </w:pPr>
      <w:r>
        <w:t xml:space="preserve">Institutional Ecosystems and Biomedical Excellence</w:t>
      </w:r>
    </w:p>
    <w:p>
      <w:pPr>
        <w:pStyle w:val="FirstParagraph"/>
      </w:pPr>
      <w:r>
        <w:t xml:space="preserve"> </w:t>
      </w:r>
      <w:r>
        <w:t xml:space="preserve">Bosch, F. X., &amp; Planas, A. M. (2020). "The Barcelona Biomedical Research Cluster: A Model of Public-Private Collaboration."</w:t>
      </w:r>
      <w:r>
        <w:t xml:space="preserve"> </w:t>
      </w:r>
      <w:r>
        <w:rPr>
          <w:iCs/>
          <w:i/>
        </w:rPr>
        <w:t xml:space="preserve">Journal of Biomedical Science and Engineering</w:t>
      </w:r>
      <w:r>
        <w:t xml:space="preserve">, 13(4), 210-225.</w:t>
      </w:r>
      <w:r>
        <w:t xml:space="preserve"> </w:t>
      </w:r>
    </w:p>
    <w:p>
      <w:pPr>
        <w:pStyle w:val="BodyText"/>
      </w:pPr>
      <w:r>
        <w:t xml:space="preserve">This article offers a granular analysis of the specific environment in</w:t>
      </w:r>
      <w:r>
        <w:t xml:space="preserve"> </w:t>
      </w:r>
      <w:r>
        <w:rPr>
          <w:bCs/>
          <w:b/>
        </w:rPr>
        <w:t xml:space="preserve">Spain Barcelona</w:t>
      </w:r>
      <w:r>
        <w:t xml:space="preserve"> </w:t>
      </w:r>
      <w:r>
        <w:t xml:space="preserve">that makes it a global leader in life sciences. It examines the synergy between the University of Barcelona and the Barcelona Institute for Science and Technology (BIST). For the</w:t>
      </w:r>
      <w:r>
        <w:t xml:space="preserve"> </w:t>
      </w:r>
      <w:r>
        <w:rPr>
          <w:bCs/>
          <w:b/>
        </w:rPr>
        <w:t xml:space="preserve">Academic Researcher</w:t>
      </w:r>
      <w:r>
        <w:t xml:space="preserve">, this source is invaluable as it maps the collaborative networks necessary for high-impact publication. It argues that the unique "Barcelona Model" allows researchers to transition more fluidly between academic inquiry and industrial application, a key factor for those seeking to commercialize their findings within the Catalan ecosystem.</w:t>
      </w:r>
    </w:p>
    <w:p>
      <w:pPr>
        <w:pStyle w:val="BodyText"/>
      </w:pPr>
      <w:r>
        <w:t xml:space="preserve"> </w:t>
      </w:r>
      <w:r>
        <w:t xml:space="preserve">Generalitat de Catalunya. (2023).</w:t>
      </w:r>
      <w:r>
        <w:t xml:space="preserve"> </w:t>
      </w:r>
      <w:r>
        <w:rPr>
          <w:iCs/>
          <w:i/>
        </w:rPr>
        <w:t xml:space="preserve">Agència de Gestió d'Ajuts Universitaris i de Recerca (AGAUR): Strategic Plan for Research</w:t>
      </w:r>
      <w:r>
        <w:t xml:space="preserve">. Barcelona: Departament d'Universitats, Recerca i Societat de la Informació.</w:t>
      </w:r>
      <w:r>
        <w:t xml:space="preserve"> </w:t>
      </w:r>
    </w:p>
    <w:p>
      <w:pPr>
        <w:pStyle w:val="BodyText"/>
      </w:pPr>
      <w:r>
        <w:t xml:space="preserve">As the regional funding body, AGAUR is the primary gatekeeper for research in Catalonia. This strategic plan is essential reading for any</w:t>
      </w:r>
      <w:r>
        <w:t xml:space="preserve"> </w:t>
      </w:r>
      <w:r>
        <w:rPr>
          <w:bCs/>
          <w:b/>
        </w:rPr>
        <w:t xml:space="preserve">Academic Researcher</w:t>
      </w:r>
      <w:r>
        <w:t xml:space="preserve"> </w:t>
      </w:r>
      <w:r>
        <w:t xml:space="preserve">based in</w:t>
      </w:r>
      <w:r>
        <w:t xml:space="preserve"> </w:t>
      </w:r>
      <w:r>
        <w:rPr>
          <w:bCs/>
          <w:b/>
        </w:rPr>
        <w:t xml:space="preserve">Spain Barcelona</w:t>
      </w:r>
      <w:r>
        <w:t xml:space="preserve">. It outlines the specific priorities of the Catalan government, which often diverge slightly from national Spanish priorities to focus on regional strengths like marine biology and nanotechnology. The document provides a roadmap for securing regional grants and understanding the administrative landscape of Catalan universities, which operate with a degree of autonomy distinct from the rest of Spain.</w:t>
      </w:r>
    </w:p>
    <w:bookmarkEnd w:id="22"/>
    <w:bookmarkStart w:id="23" w:name="X779f792485bee8ab9cb5a893a17fd20b9828077"/>
    <w:p>
      <w:pPr>
        <w:pStyle w:val="Heading2"/>
      </w:pPr>
      <w:r>
        <w:t xml:space="preserve">Career Trajectories and Academic Mobility</w:t>
      </w:r>
    </w:p>
    <w:p>
      <w:pPr>
        <w:pStyle w:val="FirstParagraph"/>
      </w:pPr>
      <w:r>
        <w:t xml:space="preserve"> </w:t>
      </w:r>
      <w:r>
        <w:t xml:space="preserve">González, M., &amp; Pérez, J. (2022). "Precarity and Permanence: The Career Paths of Early-Career Researchers in Spanish Universities."</w:t>
      </w:r>
      <w:r>
        <w:t xml:space="preserve"> </w:t>
      </w:r>
      <w:r>
        <w:rPr>
          <w:iCs/>
          <w:i/>
        </w:rPr>
        <w:t xml:space="preserve">Higher Education Policy</w:t>
      </w:r>
      <w:r>
        <w:t xml:space="preserve">, 35(2), 301-319.</w:t>
      </w:r>
      <w:r>
        <w:t xml:space="preserve"> </w:t>
      </w:r>
    </w:p>
    <w:p>
      <w:pPr>
        <w:pStyle w:val="BodyText"/>
      </w:pPr>
      <w:r>
        <w:t xml:space="preserve">This sociological study addresses the critical issue of job security for the</w:t>
      </w:r>
      <w:r>
        <w:t xml:space="preserve"> </w:t>
      </w:r>
      <w:r>
        <w:rPr>
          <w:bCs/>
          <w:b/>
        </w:rPr>
        <w:t xml:space="preserve">Academic Researcher</w:t>
      </w:r>
      <w:r>
        <w:t xml:space="preserve"> </w:t>
      </w:r>
      <w:r>
        <w:t xml:space="preserve">in Spain. It highlights the prevalence of short-term contracts ("becarios") which is a defining characteristic of the Spanish academic labor market. The study uses data from major hubs, including</w:t>
      </w:r>
      <w:r>
        <w:t xml:space="preserve"> </w:t>
      </w:r>
      <w:r>
        <w:rPr>
          <w:bCs/>
          <w:b/>
        </w:rPr>
        <w:t xml:space="preserve">Spain Barcelona</w:t>
      </w:r>
      <w:r>
        <w:t xml:space="preserve">, to demonstrate how this precarity affects research output and mental health. It is a crucial text for understanding the human dimension of the research ecosystem, offering a realistic view of the challenges faced by PhD graduates attempting to establish permanent positions in Barcelona's competitive universities.</w:t>
      </w:r>
    </w:p>
    <w:p>
      <w:pPr>
        <w:pStyle w:val="BodyText"/>
      </w:pPr>
      <w:r>
        <w:t xml:space="preserve"> </w:t>
      </w:r>
      <w:r>
        <w:t xml:space="preserve">European University Association. (2021).</w:t>
      </w:r>
      <w:r>
        <w:t xml:space="preserve"> </w:t>
      </w:r>
      <w:r>
        <w:rPr>
          <w:iCs/>
          <w:i/>
        </w:rPr>
        <w:t xml:space="preserve">Internationalisation of Higher Education in Europe: The Case of Barcelona</w:t>
      </w:r>
      <w:r>
        <w:t xml:space="preserve">. Brussels: EUA Publications.</w:t>
      </w:r>
      <w:r>
        <w:t xml:space="preserve"> </w:t>
      </w:r>
    </w:p>
    <w:p>
      <w:pPr>
        <w:pStyle w:val="BodyText"/>
      </w:pPr>
      <w:r>
        <w:t xml:space="preserve">This report focuses on the international dimension of the</w:t>
      </w:r>
      <w:r>
        <w:t xml:space="preserve"> </w:t>
      </w:r>
      <w:r>
        <w:rPr>
          <w:bCs/>
          <w:b/>
        </w:rPr>
        <w:t xml:space="preserve">Academic Researcher</w:t>
      </w:r>
      <w:r>
        <w:t xml:space="preserve"> </w:t>
      </w:r>
      <w:r>
        <w:t xml:space="preserve">in</w:t>
      </w:r>
      <w:r>
        <w:t xml:space="preserve"> </w:t>
      </w:r>
      <w:r>
        <w:rPr>
          <w:bCs/>
          <w:b/>
        </w:rPr>
        <w:t xml:space="preserve">Spain Barcelona</w:t>
      </w:r>
      <w:r>
        <w:t xml:space="preserve">. It analyzes how the city attracts talent from Latin America and the rest of Europe due to its linguistic accessibility and quality of life. The document discusses the "brain gain" phenomenon, where Barcelona successfully recruits researchers who might otherwise leave the country. It provides data on the multilingual nature of research groups in the city, noting that while Spanish and Catalan are administrative languages, English remains the lingua franca of scientific collaboration in Barcelona's top institutes.</w:t>
      </w:r>
    </w:p>
    <w:bookmarkEnd w:id="23"/>
    <w:bookmarkStart w:id="24" w:name="X07a467cfb4843b7ad348a367ec894f40f2d5971"/>
    <w:p>
      <w:pPr>
        <w:pStyle w:val="Heading2"/>
      </w:pPr>
      <w:r>
        <w:t xml:space="preserve">Technological Innovation and Industry Links</w:t>
      </w:r>
    </w:p>
    <w:p>
      <w:pPr>
        <w:pStyle w:val="FirstParagraph"/>
      </w:pPr>
      <w:r>
        <w:t xml:space="preserve"> </w:t>
      </w:r>
      <w:r>
        <w:t xml:space="preserve">Institut de Recerca en Enginyeria de Barcelona (IREB). (2023).</w:t>
      </w:r>
      <w:r>
        <w:t xml:space="preserve"> </w:t>
      </w:r>
      <w:r>
        <w:rPr>
          <w:iCs/>
          <w:i/>
        </w:rPr>
        <w:t xml:space="preserve">Annual Report on Technology Transfer and Spin-offs</w:t>
      </w:r>
      <w:r>
        <w:t xml:space="preserve">. Barcelona: IREB.</w:t>
      </w:r>
      <w:r>
        <w:t xml:space="preserve"> </w:t>
      </w:r>
    </w:p>
    <w:p>
      <w:pPr>
        <w:pStyle w:val="BodyText"/>
      </w:pPr>
      <w:r>
        <w:t xml:space="preserve">This report provides empirical data on the commercialization of research in</w:t>
      </w:r>
      <w:r>
        <w:t xml:space="preserve"> </w:t>
      </w:r>
      <w:r>
        <w:rPr>
          <w:bCs/>
          <w:b/>
        </w:rPr>
        <w:t xml:space="preserve">Spain Barcelona</w:t>
      </w:r>
      <w:r>
        <w:t xml:space="preserve">. It is particularly relevant for the</w:t>
      </w:r>
      <w:r>
        <w:t xml:space="preserve"> </w:t>
      </w:r>
      <w:r>
        <w:rPr>
          <w:bCs/>
          <w:b/>
        </w:rPr>
        <w:t xml:space="preserve">Academic Researcher</w:t>
      </w:r>
      <w:r>
        <w:t xml:space="preserve"> </w:t>
      </w:r>
      <w:r>
        <w:t xml:space="preserve">interested in the "Third Mission" of universities. The document details the success rates of spin-off companies created by researchers at the UPC and other technical institutions. It illustrates the robust infrastructure available in Barcelona for patenting and technology transfer, positioning the city as a bridge between academic theory and the industrial market, particularly in the fields of robotics and telecommunications.</w:t>
      </w:r>
    </w:p>
    <w:p>
      <w:pPr>
        <w:pStyle w:val="BodyText"/>
      </w:pPr>
      <w:r>
        <w:t xml:space="preserve">This annotated bibliography is intended for informational purposes regarding the academic landscape in Barcelona, Spain.</w:t>
      </w:r>
      <w:r>
        <w:t xml:space="preserve"> </w:t>
      </w:r>
      <w:r>
        <w:t xml:space="preserve">Sources reflect the regulatory and institutional environment as of late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Barcelona, Spain</dc:title>
  <dc:creator/>
  <dc:language>en</dc:language>
  <cp:keywords/>
  <dcterms:created xsi:type="dcterms:W3CDTF">2026-08-07T18:59:18Z</dcterms:created>
  <dcterms:modified xsi:type="dcterms:W3CDTF">2026-08-07T18:59:18Z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