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33" w:name="X07ebc66bfabf119ecd565fafea47b718b058cfa"/>
    <w:p>
      <w:pPr>
        <w:pStyle w:val="Heading1"/>
      </w:pPr>
      <w:r>
        <w:t xml:space="preserve">Annotated Bibliography: The Academic Researcher in Dubai, United Arab Emirates</w:t>
      </w:r>
    </w:p>
    <w:p>
      <w:pPr>
        <w:pStyle w:val="FirstParagraph"/>
      </w:pPr>
      <w:r>
        <w:rPr>
          <w:bCs/>
          <w:b/>
        </w:rPr>
        <w:t xml:space="preserve">Introduction:</w:t>
      </w:r>
      <w:r>
        <w:t xml:space="preserve"> </w:t>
      </w:r>
      <w:r>
        <w:t xml:space="preserve">The role of the academic researcher in Dubai, United Arab Emirates (UAE), has evolved significantly over the past two decades. As the UAE transitions from an oil-dependent economy to a knowledge-based society, the demand for high-quality research has surged. This annotated bibliography compiles key literature regarding the ecosystem, challenges, and opportunities facing academic researchers in Dubai. The selected sources cover government policy, institutional frameworks, funding mechanisms, and the cultural integration of research within the emirate. This document serves as a foundational resource for scholars, policymakers, and educational leaders interested in the specific dynamics of the Dubai research landscape.</w:t>
      </w:r>
    </w:p>
    <w:bookmarkStart w:id="22" w:name="government-policy-and-strategic-vision"/>
    <w:p>
      <w:pPr>
        <w:pStyle w:val="Heading2"/>
      </w:pPr>
      <w:r>
        <w:t xml:space="preserve">Government Policy and Strategic Vision</w:t>
      </w:r>
    </w:p>
    <w:bookmarkStart w:id="20" w:name="Xd3f799f79c4752c4dde412482d39175d97b763c"/>
    <w:p>
      <w:pPr>
        <w:pStyle w:val="Heading3"/>
      </w:pPr>
      <w:r>
        <w:t xml:space="preserve">1. The UAE Centennial 2071 and Research Priorities</w:t>
      </w:r>
    </w:p>
    <w:p>
      <w:pPr>
        <w:pStyle w:val="FirstParagraph"/>
      </w:pPr>
      <w:r>
        <w:t xml:space="preserve">Alsuwaidi, M. (2021).</w:t>
      </w:r>
      <w:r>
        <w:t xml:space="preserve"> </w:t>
      </w:r>
      <w:r>
        <w:rPr>
          <w:iCs/>
          <w:i/>
        </w:rPr>
        <w:t xml:space="preserve">National Research Priorities in the UAE: Aligning with the Centennial 2071 Vision</w:t>
      </w:r>
      <w:r>
        <w:t xml:space="preserve">. Journal of Arab &amp; Islamic Studies, 18(2), 45-62.</w:t>
      </w:r>
    </w:p>
    <w:p>
      <w:pPr>
        <w:pStyle w:val="BodyText"/>
      </w:pPr>
      <w:r>
        <w:t xml:space="preserve">This article provides a critical analysis of how the UAE's long-term strategic vision influences the work of the academic researcher. Alsuwaidi argues that the Centennial 2071 plan explicitly positions research as a pillar of national security and economic diversification. The author highlights specific sectors prioritized by the Dubai government, such as artificial intelligence, renewable energy, and biotechnology. For the academic researcher in Dubai, this document is essential as it outlines the thematic areas most likely to receive state support. It also discusses the shift from quantity-based metrics to impact-based evaluation in UAE universities, suggesting that researchers must align their outputs with national development goals to secure tenure and funding.</w:t>
      </w:r>
    </w:p>
    <w:bookmarkEnd w:id="20"/>
    <w:bookmarkStart w:id="21" w:name="X1c02b80484a9325718885fe89aa4bb57b48582c"/>
    <w:p>
      <w:pPr>
        <w:pStyle w:val="Heading3"/>
      </w:pPr>
      <w:r>
        <w:t xml:space="preserve">2. Regulatory Frameworks for Higher Education</w:t>
      </w:r>
    </w:p>
    <w:p>
      <w:pPr>
        <w:pStyle w:val="FirstParagraph"/>
      </w:pPr>
      <w:r>
        <w:t xml:space="preserve">Dubai Knowledge and Human Development Authority (KHDA). (2022).</w:t>
      </w:r>
      <w:r>
        <w:t xml:space="preserve"> </w:t>
      </w:r>
      <w:r>
        <w:rPr>
          <w:iCs/>
          <w:i/>
        </w:rPr>
        <w:t xml:space="preserve">Regulatory Framework for Higher Education Institutions in Dubai</w:t>
      </w:r>
      <w:r>
        <w:t xml:space="preserve">. Dubai: KHDA Publications.</w:t>
      </w:r>
    </w:p>
    <w:p>
      <w:pPr>
        <w:pStyle w:val="BodyText"/>
      </w:pPr>
      <w:r>
        <w:t xml:space="preserve">This official government document outlines the regulatory environment in which academic researchers in Dubai operate. It details the accreditation standards required for universities and research centers within the emirate. The text is particularly relevant for understanding the quality assurance mechanisms that govern research integrity and ethical standards. It emphasizes the KHDA's role in monitoring research output and ensuring that institutions contribute to the local economy. For any academic researcher planning to establish a lab or join a faculty in Dubai, this framework provides the necessary legal and operational context, highlighting the strict compliance requirements regarding data privacy and intellectual property.</w:t>
      </w:r>
    </w:p>
    <w:bookmarkEnd w:id="21"/>
    <w:bookmarkEnd w:id="22"/>
    <w:bookmarkStart w:id="25" w:name="Xebb9d6e6efe30ccfe4781b34b5fa395b282fee0"/>
    <w:p>
      <w:pPr>
        <w:pStyle w:val="Heading2"/>
      </w:pPr>
      <w:r>
        <w:t xml:space="preserve">Institutional Ecosystem and Collaboration</w:t>
      </w:r>
    </w:p>
    <w:bookmarkStart w:id="23" w:name="X1cc97904b37391cfc201d7488a6b53b6a367d5e"/>
    <w:p>
      <w:pPr>
        <w:pStyle w:val="Heading3"/>
      </w:pPr>
      <w:r>
        <w:t xml:space="preserve">3. The Role of Free Zones in Academic Research</w:t>
      </w:r>
    </w:p>
    <w:p>
      <w:pPr>
        <w:pStyle w:val="FirstParagraph"/>
      </w:pPr>
      <w:r>
        <w:t xml:space="preserve">Hassan, S., &amp; Al-Mansoori, L. (2020).</w:t>
      </w:r>
      <w:r>
        <w:t xml:space="preserve"> </w:t>
      </w:r>
      <w:r>
        <w:rPr>
          <w:iCs/>
          <w:i/>
        </w:rPr>
        <w:t xml:space="preserve">Free Zones as Hubs for Innovation: The Case of Dubai Internet City and Dubai Science Park</w:t>
      </w:r>
      <w:r>
        <w:t xml:space="preserve">. International Journal of Innovation Management, 24(4), 1-22.</w:t>
      </w:r>
    </w:p>
    <w:p>
      <w:pPr>
        <w:pStyle w:val="BodyText"/>
      </w:pPr>
      <w:r>
        <w:t xml:space="preserve">This study examines the unique position of Dubai's free zones as incubators for academic-industry collaboration. The authors argue that the academic researcher in Dubai benefits significantly from the proximity of universities to tech hubs like Dubai Internet City. The paper provides case studies of successful partnerships between local universities and multinational corporations, demonstrating how these collaborations facilitate technology transfer. It is a crucial resource for understanding the "triple helix" model of innovation in the UAE. The authors conclude that the regulatory flexibility of free zones allows researchers to commercialize their findings more rapidly than in traditional academic settings, making Dubai a distinct environment for applied research.</w:t>
      </w:r>
    </w:p>
    <w:bookmarkEnd w:id="23"/>
    <w:bookmarkStart w:id="24" w:name="X6ee577a7302fed3d78b5164ec43a9377433517e"/>
    <w:p>
      <w:pPr>
        <w:pStyle w:val="Heading3"/>
      </w:pPr>
      <w:r>
        <w:t xml:space="preserve">4. International Branch Campuses and Research Output</w:t>
      </w:r>
    </w:p>
    <w:p>
      <w:pPr>
        <w:pStyle w:val="FirstParagraph"/>
      </w:pPr>
      <w:r>
        <w:t xml:space="preserve">Al-Hinai, A. (2019).</w:t>
      </w:r>
      <w:r>
        <w:t xml:space="preserve"> </w:t>
      </w:r>
      <w:r>
        <w:rPr>
          <w:iCs/>
          <w:i/>
        </w:rPr>
        <w:t xml:space="preserve">Impact of International Branch Campuses on Research Capacity in the UAE</w:t>
      </w:r>
      <w:r>
        <w:t xml:space="preserve">. Higher Education Policy, 32(3), 301-320.</w:t>
      </w:r>
    </w:p>
    <w:p>
      <w:pPr>
        <w:pStyle w:val="BodyText"/>
      </w:pPr>
      <w:r>
        <w:t xml:space="preserve">Dubai hosts numerous branch campuses of prestigious Western universities. This article analyzes how these institutions affect the local research landscape. Al-Hinai finds that while these campuses bring high-quality faculty and resources, there is often a disconnect between their research agendas and local UAE needs. The paper is critical for the academic researcher in Dubai who must navigate the expectations of a global parent institution while trying to engage with the local community. It highlights the tension between global ranking pressures and local relevance, offering insights into how researchers can balance these competing demands to maximize their impact in the region.</w:t>
      </w:r>
    </w:p>
    <w:bookmarkEnd w:id="24"/>
    <w:bookmarkEnd w:id="25"/>
    <w:bookmarkStart w:id="28" w:name="funding-and-career-development"/>
    <w:p>
      <w:pPr>
        <w:pStyle w:val="Heading2"/>
      </w:pPr>
      <w:r>
        <w:t xml:space="preserve">Funding and Career Development</w:t>
      </w:r>
    </w:p>
    <w:bookmarkStart w:id="26" w:name="X9e261c556024b41a402a40f9c909b05bd670071"/>
    <w:p>
      <w:pPr>
        <w:pStyle w:val="Heading3"/>
      </w:pPr>
      <w:r>
        <w:t xml:space="preserve">5. Funding Mechanisms for Scientific Research</w:t>
      </w:r>
    </w:p>
    <w:p>
      <w:pPr>
        <w:pStyle w:val="FirstParagraph"/>
      </w:pPr>
      <w:r>
        <w:t xml:space="preserve">Ministry of Education, UAE. (2023).</w:t>
      </w:r>
      <w:r>
        <w:t xml:space="preserve"> </w:t>
      </w:r>
      <w:r>
        <w:rPr>
          <w:iCs/>
          <w:i/>
        </w:rPr>
        <w:t xml:space="preserve">Guide to Research Grants and Funding Opportunities in the UAE</w:t>
      </w:r>
      <w:r>
        <w:t xml:space="preserve">. Abu Dhabi: MOE Press.</w:t>
      </w:r>
    </w:p>
    <w:p>
      <w:pPr>
        <w:pStyle w:val="BodyText"/>
      </w:pPr>
      <w:r>
        <w:t xml:space="preserve">Although a federal document, this guide is indispensable for the academic researcher in Dubai. It details the various grants available through the UAE government, including those specifically targeted at emerging technologies. The document explains the application process, eligibility criteria, and evaluation metrics for research funding. It also highlights the increasing emphasis on interdisciplinary research and the requirement for local partnerships. For researchers in Dubai, this guide clarifies how to access national funds that can supplement university budgets, providing a roadmap for financial sustainability in their research careers.</w:t>
      </w:r>
    </w:p>
    <w:bookmarkEnd w:id="26"/>
    <w:bookmarkStart w:id="27" w:name="X2c428e674e707a195b9418c5251b18891e8f445"/>
    <w:p>
      <w:pPr>
        <w:pStyle w:val="Heading3"/>
      </w:pPr>
      <w:r>
        <w:t xml:space="preserve">6. Challenges Faced by Expatriate Researchers</w:t>
      </w:r>
    </w:p>
    <w:p>
      <w:pPr>
        <w:pStyle w:val="FirstParagraph"/>
      </w:pPr>
      <w:r>
        <w:t xml:space="preserve">Khan, R. (2021).</w:t>
      </w:r>
      <w:r>
        <w:t xml:space="preserve"> </w:t>
      </w:r>
      <w:r>
        <w:rPr>
          <w:iCs/>
          <w:i/>
        </w:rPr>
        <w:t xml:space="preserve">Expatriate Academics in the Gulf: Career Mobility and Professional Identity</w:t>
      </w:r>
      <w:r>
        <w:t xml:space="preserve">. Journal of Higher Education in the Middle East, 15(1), 88-105.</w:t>
      </w:r>
    </w:p>
    <w:p>
      <w:pPr>
        <w:pStyle w:val="BodyText"/>
      </w:pPr>
      <w:r>
        <w:t xml:space="preserve">The majority of academic researchers in Dubai are expatriates. This qualitative study explores the professional and personal challenges they face. Khan identifies issues such as visa restrictions, cultural adaptation, and the transient nature of academic contracts in the UAE. The paper provides a nuanced view of the researcher's experience, noting that while salaries are competitive, long-term career security can be uncertain. This source is vital for understanding the human dimension of the research ecosystem in Dubai. It offers recommendations for institutions on how to improve retention and support for international scholars, thereby enhancing the stability of the research environment.</w:t>
      </w:r>
    </w:p>
    <w:bookmarkEnd w:id="27"/>
    <w:bookmarkEnd w:id="28"/>
    <w:bookmarkStart w:id="31" w:name="emerging-trends-and-future-directions"/>
    <w:p>
      <w:pPr>
        <w:pStyle w:val="Heading2"/>
      </w:pPr>
      <w:r>
        <w:t xml:space="preserve">Emerging Trends and Future Directions</w:t>
      </w:r>
    </w:p>
    <w:bookmarkStart w:id="29" w:name="X261fa7ff6b0d5e0b170241d19d77082aae889c3"/>
    <w:p>
      <w:pPr>
        <w:pStyle w:val="Heading3"/>
      </w:pPr>
      <w:r>
        <w:t xml:space="preserve">7. Artificial Intelligence and Research in Dubai</w:t>
      </w:r>
    </w:p>
    <w:p>
      <w:pPr>
        <w:pStyle w:val="FirstParagraph"/>
      </w:pPr>
      <w:r>
        <w:t xml:space="preserve">Dubai Future Foundation. (2022).</w:t>
      </w:r>
      <w:r>
        <w:t xml:space="preserve"> </w:t>
      </w:r>
      <w:r>
        <w:rPr>
          <w:iCs/>
          <w:i/>
        </w:rPr>
        <w:t xml:space="preserve">Dubai AI Strategy 2031: Implications for Academic Research</w:t>
      </w:r>
      <w:r>
        <w:t xml:space="preserve">. Dubai: DFF Reports.</w:t>
      </w:r>
    </w:p>
    <w:p>
      <w:pPr>
        <w:pStyle w:val="BodyText"/>
      </w:pPr>
      <w:r>
        <w:t xml:space="preserve">This report outlines the strategic roadmap for integrating artificial intelligence into Dubai's governance and economy. It explicitly calls for academic researchers to lead the development of AI ethics, algorithms, and applications. The document is highly relevant for researchers in computer science, data analytics, and social sciences. It details specific initiatives, such as the establishment of AI labs and data sharing platforms, that are open to academic participation. The report underscores the UAE's ambition to be a global leader in AI, positioning the academic researcher in Dubai at the forefront of this technological revolution.</w:t>
      </w:r>
    </w:p>
    <w:bookmarkEnd w:id="29"/>
    <w:bookmarkStart w:id="30" w:name="sustainability-and-green-research"/>
    <w:p>
      <w:pPr>
        <w:pStyle w:val="Heading3"/>
      </w:pPr>
      <w:r>
        <w:t xml:space="preserve">8. Sustainability and Green Research</w:t>
      </w:r>
    </w:p>
    <w:p>
      <w:pPr>
        <w:pStyle w:val="FirstParagraph"/>
      </w:pPr>
      <w:r>
        <w:t xml:space="preserve">Al-Gahtani, H. (2023).</w:t>
      </w:r>
      <w:r>
        <w:t xml:space="preserve"> </w:t>
      </w:r>
      <w:r>
        <w:rPr>
          <w:iCs/>
          <w:i/>
        </w:rPr>
        <w:t xml:space="preserve">Sustainable Development Goals and Research Priorities in Dubai</w:t>
      </w:r>
      <w:r>
        <w:t xml:space="preserve">. Environmental Science &amp; Policy, 140, 112-125.</w:t>
      </w:r>
    </w:p>
    <w:p>
      <w:pPr>
        <w:pStyle w:val="BodyText"/>
      </w:pPr>
      <w:r>
        <w:t xml:space="preserve">As Dubai aims to become a sustainable city, this article examines the role of academic research in achieving the UAE's net-zero goals. Al-Gahtani reviews current research projects in renewable energy, water conservation, and urban planning. The paper argues that there is a growing demand for researchers who can provide evidence-based solutions to environmental challenges. It highlights funding opportunities and policy incentives for green research. For the academic researcher in Dubai, this source identifies a rapidly expanding field of study with significant potential for impact and collaboration with government entities.</w:t>
      </w:r>
    </w:p>
    <w:bookmarkEnd w:id="30"/>
    <w:bookmarkEnd w:id="31"/>
    <w:bookmarkStart w:id="32" w:name="conclusion"/>
    <w:p>
      <w:pPr>
        <w:pStyle w:val="Heading2"/>
      </w:pPr>
      <w:r>
        <w:t xml:space="preserve">Conclusion</w:t>
      </w:r>
    </w:p>
    <w:p>
      <w:pPr>
        <w:pStyle w:val="FirstParagraph"/>
      </w:pPr>
      <w:r>
        <w:t xml:space="preserve">This annotated bibliography illustrates that the academic researcher in Dubai operates within a dynamic, policy-driven, and rapidly evolving environment. The literature reveals a strong alignment between national strategic goals and research priorities, offering significant opportunities for those who can navigate the regulatory and cultural landscape. From the regulatory frameworks of the KHDA to the innovation hubs of Dubai Science Park, the ecosystem is designed to foster high-impact research. However, challenges related to career stability for expatriates and the balance between global and local research agendas remain pertinent. Future research should focus on longitudinal studies of research impact and the long-term sustainability of the current funding models.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Dubai, United Arab Emirates</dc:title>
  <dc:creator/>
  <dc:language>en</dc:language>
  <cp:keywords/>
  <dcterms:created xsi:type="dcterms:W3CDTF">2026-08-09T05:22:03Z</dcterms:created>
  <dcterms:modified xsi:type="dcterms:W3CDTF">2026-08-09T05:22:03Z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