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Dhaka,</w:t>
      </w:r>
      <w:r>
        <w:t xml:space="preserve"> </w:t>
      </w:r>
      <w:r>
        <w:t xml:space="preserve">Bangladesh</w:t>
      </w:r>
    </w:p>
    <w:bookmarkStart w:id="21" w:name="annotated-bibliography"/>
    <w:p>
      <w:pPr>
        <w:pStyle w:val="Heading1"/>
      </w:pPr>
      <w:r>
        <w:t xml:space="preserve">Annotated Bibliography</w:t>
      </w:r>
    </w:p>
    <w:bookmarkStart w:id="20" w:name="X22d3675fe73b124e8e686701c9372dccbb5882d"/>
    <w:p>
      <w:pPr>
        <w:pStyle w:val="Heading2"/>
      </w:pPr>
      <w:r>
        <w:t xml:space="preserve">Professional Accounting Standards, Regulatory Frameworks, and Economic Context in Dhaka, Bangladesh</w:t>
      </w:r>
    </w:p>
    <w:p>
      <w:pPr>
        <w:pStyle w:val="FirstParagraph"/>
      </w:pPr>
      <w:r>
        <w:rPr>
          <w:bCs/>
          <w:b/>
        </w:rPr>
        <w:t xml:space="preserve">Subject:</w:t>
      </w:r>
      <w:r>
        <w:t xml:space="preserve"> </w:t>
      </w:r>
      <w:r>
        <w:t xml:space="preserve">The evolving role of the Accountant in the financial hub of Dhaka.</w:t>
      </w:r>
    </w:p>
    <w:bookmarkEnd w:id="20"/>
    <w:bookmarkEnd w:id="21"/>
    <w:p>
      <w:pPr>
        <w:pStyle w:val="BodyText"/>
      </w:pPr>
      <w:r>
        <w:t xml:space="preserve">The following annotated bibliography compiles essential literature regarding the profession of accounting within the specific context of Dhaka, Bangladesh. As the capital city and the primary economic engine of the nation, Dhaka hosts the headquarters of the majority of multinational corporations, local conglomerates, and financial institutions. Consequently, the accountant operating in this region must navigate a complex landscape defined by the Institute of Chartered Accountants of Bangladesh (ICAB), the Bangladesh Bank, and the National Board of Revenue (NBR). The selected sources below examine the transition from traditional bookkeeping to strategic financial management, the impact of digitalization in the Dhaka business district, and the regulatory compliance requirements specific to the Bangladeshi jurisdiction.</w:t>
      </w:r>
    </w:p>
    <w:p>
      <w:pPr>
        <w:pStyle w:val="BodyText"/>
      </w:pPr>
      <w:r>
        <w:t xml:space="preserve">Ahmed, M., &amp; Rahman, S. (2021). "Digital Transformation in Financial Reporting: A Case Study of Dhaka's Corporate Sector." Journal of South Asian Business and Economics, 14(2), 45-62.</w:t>
      </w:r>
    </w:p>
    <w:p>
      <w:pPr>
        <w:pStyle w:val="BodyText"/>
      </w:pPr>
      <w:r>
        <w:t xml:space="preserve">This article provides a critical analysis of how accountants in Dhaka are adapting to the rapid digitization of financial processes. The authors argue that the traditional role of the accountant in Bangladesh is shifting from manual data entry to strategic analysis due to the adoption of ERP systems in major commercial hubs like Gulshan and Banani. The study highlights that while large conglomerates in Dhaka have embraced automation, small and medium enterprises (SMEs) still face significant hurdles. For an accountant working in Dhaka, this source is vital for understanding the technological expectations of modern employers and the necessity of proficiency in digital accounting tools to remain competitive in the local job market.</w:t>
      </w:r>
    </w:p>
    <w:p>
      <w:pPr>
        <w:pStyle w:val="BodyText"/>
      </w:pPr>
      <w:r>
        <w:t xml:space="preserve">Bangladesh Bank. (2023). "Prudential Regulations for Commercial Banks." Dhaka: Central Bank of Bangladesh Publications.</w:t>
      </w:r>
    </w:p>
    <w:p>
      <w:pPr>
        <w:pStyle w:val="BodyText"/>
      </w:pPr>
      <w:r>
        <w:t xml:space="preserve">As the central bank of Bangladesh, the Bangladesh Bank issues the mandatory regulatory framework that governs financial institutions. This document is indispensable for any accountant employed in the banking or financial sector in Dhaka. It outlines the strict capital adequacy requirements, credit risk management protocols, and liquidity standards that must be adhered to. The text emphasizes the accountant's role in ensuring compliance with these regulations to prevent systemic risk. Given that Dhaka is home to the headquarters of all major commercial banks in the country, understanding these specific prudential regulations is a prerequisite for professional practice in the city's financial district.</w:t>
      </w:r>
    </w:p>
    <w:p>
      <w:pPr>
        <w:pStyle w:val="BodyText"/>
      </w:pPr>
      <w:r>
        <w:t xml:space="preserve">Hossain, K. (2020). "Corporate Governance and Financial Transparency in Bangladesh: Challenges and Opportunities." Dhaka University Journal of Business Administration, 39(1), 112-130.</w:t>
      </w:r>
    </w:p>
    <w:p>
      <w:pPr>
        <w:pStyle w:val="BodyText"/>
      </w:pPr>
      <w:r>
        <w:t xml:space="preserve">Hossain explores the relationship between corporate governance structures and financial reporting quality in Bangladeshi listed companies. The paper identifies a growing demand in Dhaka for accountants who can act as guardians of transparency and ethical standards. It discusses the specific challenges posed by family-owned conglomerates, which dominate the Dhaka economy, and the increasing pressure from international investors for adherence to global governance standards. This source is highly relevant for accountants aiming for senior management positions in Dhaka, as it underscores the importance of ethical decision-making and the ability to navigate complex stakeholder relationships within the local corporate culture.</w:t>
      </w:r>
    </w:p>
    <w:p>
      <w:pPr>
        <w:pStyle w:val="BodyText"/>
      </w:pPr>
      <w:r>
        <w:t xml:space="preserve">Institute of Chartered Accountants of Bangladesh (ICAB). (2022). "Code of Ethics for Professional Accountants." Dhaka: ICAB Headquarters.</w:t>
      </w:r>
    </w:p>
    <w:p>
      <w:pPr>
        <w:pStyle w:val="BodyText"/>
      </w:pPr>
      <w:r>
        <w:t xml:space="preserve">This publication serves as the foundational ethical guideline for all practicing chartered accountants in Bangladesh. It aligns with the International Ethics Standards Board for Accountants (IESBA) code but includes specific provisions relevant to the Bangladeshi legal and cultural context. For an accountant in Dhaka, this document is not merely advisory but mandatory. It addresses issues of independence, confidentiality, and professional behavior, which are critical when dealing with the high-stakes financial environments found in the capital city. The text provides a framework for resolving ethical dilemmas that may arise in the course of auditing, taxation, and financial advisory services in Dhaka.</w:t>
      </w:r>
    </w:p>
    <w:p>
      <w:pPr>
        <w:pStyle w:val="BodyText"/>
      </w:pPr>
      <w:r>
        <w:t xml:space="preserve">National Board of Revenue (NBR). (2023). "Income Tax Ordinance, 1984 and Recent Amendments." Dhaka: Ministry of Finance, Government of the People's Republic of Bangladesh.</w:t>
      </w:r>
    </w:p>
    <w:p>
      <w:pPr>
        <w:pStyle w:val="BodyText"/>
      </w:pPr>
      <w:r>
        <w:t xml:space="preserve">Taxation is a core function of the accounting profession in Bangladesh. This legal text, issued by the NBR, details the tax laws applicable to individuals and corporations operating within the country. For accountants in Dhaka, where the concentration of taxable entities is highest, a thorough understanding of this ordinance is essential. The document covers corporate tax rates, withholding tax mechanisms, and Value Added Tax (VAT) regulations. It highlights the accountant's responsibility in ensuring accurate tax filing and compliance to avoid penalties. The frequent amendments mentioned in the text reflect the dynamic nature of fiscal policy in Bangladesh, requiring Dhaka-based accountants to engage in continuous professional development.</w:t>
      </w:r>
    </w:p>
    <w:p>
      <w:pPr>
        <w:pStyle w:val="BodyText"/>
      </w:pPr>
      <w:r>
        <w:t xml:space="preserve">Rahman, A., &amp; Islam, M. (2019). "The Impact of IFRS Adoption on Financial Reporting Quality in Bangladesh." International Journal of Accounting and Financial Reporting, 9(3), 200-215.</w:t>
      </w:r>
    </w:p>
    <w:p>
      <w:pPr>
        <w:pStyle w:val="BodyText"/>
      </w:pPr>
      <w:r>
        <w:t xml:space="preserve">This study examines the transition of Bangladesh from local accounting standards to International Financial Reporting Standards (IFRS). The authors analyze how this shift has affected the quality of financial reporting among companies listed on the Dhaka Stock Exchange. The paper concludes that while the adoption of IFRS has improved transparency, there are still implementation gaps due to a lack of skilled professionals. This source is crucial for accountants in Dhaka who need to demonstrate expertise in IFRS to meet the demands of multinational clients and listed companies. It provides insight into the technical competencies required to prepare financial statements that are comparable on a global scale.</w:t>
      </w:r>
    </w:p>
    <w:p>
      <w:pPr>
        <w:pStyle w:val="BodyText"/>
      </w:pPr>
      <w:r>
        <w:t xml:space="preserve">World Bank. (2022). "Bangladesh Development Update: Navigating the Post-Pandemic Recovery." Washington, DC: World Bank Group.</w:t>
      </w:r>
    </w:p>
    <w:p>
      <w:pPr>
        <w:pStyle w:val="BodyText"/>
      </w:pPr>
      <w:r>
        <w:t xml:space="preserve">While a macroeconomic report, this document provides essential context for the accountant operating in Dhaka. It outlines the economic challenges and opportunities facing Bangladesh, including inflation, foreign exchange reserves, and infrastructure development. Accountants in Dhaka must understand these broader economic indicators to provide meaningful financial advice to their clients. The report highlights the importance of financial stability and the role of the private sector in driving growth. By referencing this source, accountants can better align their financial strategies with the national economic agenda, thereby adding value to their organizations in the competitive Dhaka market.</w:t>
      </w:r>
    </w:p>
    <w:p>
      <w:pPr>
        <w:pStyle w:val="BodyText"/>
      </w:pPr>
      <w:r>
        <w:t xml:space="preserve">Karim, R. (2021). "Sustainability Reporting in Bangladesh: Current Status and Future Prospects." Journal of Cleaner Production in South Asia, 7(4), 88-105.</w:t>
      </w:r>
    </w:p>
    <w:p>
      <w:pPr>
        <w:pStyle w:val="BodyText"/>
      </w:pPr>
      <w:r>
        <w:t xml:space="preserve">This article discusses the emerging trend of sustainability and environmental, social, and governance (ESG) reporting among corporations in Bangladesh. It notes that Dhaka-based companies, particularly in the ready-made garment and banking sectors, are increasingly required to report on their environmental impact. The author argues that the role of the accountant is expanding to include the measurement and reporting of non-financial metrics. This source is forward-looking and essential for accountants in Dhaka who wish to specialize in sustainability accounting, a field that is gaining significant traction due to international supply chain requirements and local regulatory pressures.</w:t>
      </w:r>
    </w:p>
    <w:p>
      <w:pPr>
        <w:pStyle w:val="BodyText"/>
      </w:pPr>
      <w:r>
        <w:t xml:space="preserve">Document generated for educational and professional reference purposes regarding the accounting profession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Dhaka, Bangladesh</dc:title>
  <dc:creator/>
  <dc:language>en</dc:language>
  <cp:keywords/>
  <dcterms:created xsi:type="dcterms:W3CDTF">2026-08-07T10:04:55Z</dcterms:created>
  <dcterms:modified xsi:type="dcterms:W3CDTF">2026-08-07T10:04:55Z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