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6b9070025eaf1736687d98cd7ee6bf72c07a2d4"/>
    <w:p>
      <w:pPr>
        <w:pStyle w:val="Heading1"/>
      </w:pPr>
      <w:r>
        <w:t xml:space="preserve">Annotated Bibliography: The Role of the Accountant in São Paulo, Brazil</w:t>
      </w:r>
    </w:p>
    <w:p>
      <w:pPr>
        <w:pStyle w:val="FirstParagraph"/>
      </w:pPr>
      <w:r>
        <w:rPr>
          <w:bCs/>
          <w:b/>
        </w:rPr>
        <w:t xml:space="preserve">Subject:</w:t>
      </w:r>
      <w:r>
        <w:t xml:space="preserve"> </w:t>
      </w:r>
      <w:r>
        <w:t xml:space="preserve">Accounting Practices, Regulatory Frameworks, and Professional Standards</w:t>
      </w:r>
      <w:r>
        <w:br/>
      </w:r>
      <w:r>
        <w:rPr>
          <w:bCs/>
          <w:b/>
        </w:rPr>
        <w:t xml:space="preserve">Geographic Focus:</w:t>
      </w:r>
      <w:r>
        <w:t xml:space="preserve"> </w:t>
      </w:r>
      <w:r>
        <w:t xml:space="preserve">São Paulo, Brazil</w:t>
      </w:r>
      <w:r>
        <w:br/>
      </w:r>
      <w:r>
        <w:rPr>
          <w:bCs/>
          <w:b/>
        </w:rPr>
        <w:t xml:space="preserve">Language:</w:t>
      </w:r>
      <w:r>
        <w:t xml:space="preserve"> </w:t>
      </w:r>
      <w:r>
        <w:t xml:space="preserve">English</w:t>
      </w:r>
    </w:p>
    <w:bookmarkEnd w:id="20"/>
    <w:p>
      <w:pPr>
        <w:pStyle w:val="BodyText"/>
      </w:pPr>
      <w:r>
        <w:t xml:space="preserve">São Paulo stands as the undisputed financial and economic capital of Brazil, housing the headquarters of the majority of the country's largest corporations and the São Paulo Stock Exchange (B3). Consequently, the role of the accountant in this specific region is distinct from other parts of the nation due to the complexity of the corporate environment and the density of regulatory oversight. This annotated bibliography compiles essential resources regarding the Brazilian accounting profession, focusing on the regulatory bodies, tax complexities, and international standards that define the practice of accounting in São Paulo. The selected works provide a comprehensive overview of the legal obligations, ethical standards, and technical competencies required for accountants operating within this dynamic market.</w:t>
      </w:r>
    </w:p>
    <w:bookmarkStart w:id="21" w:name="X0572e3f09fa81ecaefc09353e794c46e425a3d0"/>
    <w:p>
      <w:pPr>
        <w:pStyle w:val="Heading2"/>
      </w:pPr>
      <w:r>
        <w:t xml:space="preserve">Regulatory Framework and Professional Ethics</w:t>
      </w:r>
    </w:p>
    <w:p>
      <w:pPr>
        <w:pStyle w:val="FirstParagraph"/>
      </w:pPr>
      <w:r>
        <w:t xml:space="preserve">Conselho Federal de Contabilidade (CFC). (2023).</w:t>
      </w:r>
      <w:r>
        <w:t xml:space="preserve"> </w:t>
      </w:r>
      <w:r>
        <w:rPr>
          <w:iCs/>
          <w:i/>
        </w:rPr>
        <w:t xml:space="preserve">Resolução CFC No. 1.640/2022: Código de Ética Profissional do Contador</w:t>
      </w:r>
      <w:r>
        <w:t xml:space="preserve">. Brasília: CFC.</w:t>
      </w:r>
    </w:p>
    <w:p>
      <w:pPr>
        <w:pStyle w:val="BodyText"/>
      </w:pPr>
      <w:r>
        <w:t xml:space="preserve">This resolution establishes the Code of Professional Ethics for accountants in Brazil. For an accountant practicing in São Paulo, this document is the foundational guide for professional conduct. It outlines the duties of integrity, objectivity, and professional competence required when dealing with the high-stakes financial environments typical of São Paulo's business district. The text details the responsibilities of the accountant regarding confidentiality and the prohibition of conflicts of interest, which are critical considerations given the interconnected nature of the corporate elite in the state of São Paulo.</w:t>
      </w:r>
    </w:p>
    <w:p>
      <w:pPr>
        <w:pStyle w:val="BodyText"/>
      </w:pPr>
      <w:r>
        <w:t xml:space="preserve">Instituto Brasileiro de Contadores (IBRACON). (2022).</w:t>
      </w:r>
      <w:r>
        <w:t xml:space="preserve"> </w:t>
      </w:r>
      <w:r>
        <w:rPr>
          <w:iCs/>
          <w:i/>
        </w:rPr>
        <w:t xml:space="preserve">Manual de Orientação Profissional para Contadores</w:t>
      </w:r>
      <w:r>
        <w:t xml:space="preserve">. São Paulo: IBRACON.</w:t>
      </w:r>
    </w:p>
    <w:p>
      <w:pPr>
        <w:pStyle w:val="BodyText"/>
      </w:pPr>
      <w:r>
        <w:t xml:space="preserve">Published by the Brazilian Institute of Accountants, this manual provides practical guidance on the scope of work for accountants. It is particularly relevant for professionals in São Paulo, where the distinction between public accounting and corporate accounting is often blurred by the size of the firms. The manual clarifies the legal requirements for signing financial statements and the specific obligations of the "Contador Responsável Técnico" (Technical Responsible Accountant), a mandatory role for all accounting firms operating in Brazil.</w:t>
      </w:r>
    </w:p>
    <w:bookmarkEnd w:id="21"/>
    <w:bookmarkStart w:id="22" w:name="taxation-and-fiscal-complexity"/>
    <w:p>
      <w:pPr>
        <w:pStyle w:val="Heading2"/>
      </w:pPr>
      <w:r>
        <w:t xml:space="preserve">Taxation and Fiscal Complexity</w:t>
      </w:r>
    </w:p>
    <w:p>
      <w:pPr>
        <w:pStyle w:val="FirstParagraph"/>
      </w:pPr>
      <w:r>
        <w:t xml:space="preserve">Fazenda do Estado de São Paulo. (2023).</w:t>
      </w:r>
      <w:r>
        <w:t xml:space="preserve"> </w:t>
      </w:r>
      <w:r>
        <w:rPr>
          <w:iCs/>
          <w:i/>
        </w:rPr>
        <w:t xml:space="preserve">Manual de Orientação ao Contribuinte: ICMS</w:t>
      </w:r>
      <w:r>
        <w:t xml:space="preserve">. São Paulo: Secretaria da Fazenda.</w:t>
      </w:r>
    </w:p>
    <w:p>
      <w:pPr>
        <w:pStyle w:val="BodyText"/>
      </w:pPr>
      <w:r>
        <w:t xml:space="preserve">The ICMS (Tax on Circulation of Goods and Services) is the most complex and significant state-level tax in Brazil. This manual, issued by the São Paulo State Treasury, is an indispensable resource for any accountant working in the region. It details the specific rates, exemptions, and credit mechanisms applicable within São Paulo. Given that São Paulo is the largest consumer market in the country, understanding the nuances of ICMS is vital for accountants managing supply chains and inter-state transactions. The document provides the legal basis for fiscal compliance and helps mitigate the risk of audits by state authorities.</w:t>
      </w:r>
    </w:p>
    <w:p>
      <w:pPr>
        <w:pStyle w:val="BodyText"/>
      </w:pPr>
      <w:r>
        <w:t xml:space="preserve">Receita Federal do Brasil (RFB). (2023).</w:t>
      </w:r>
      <w:r>
        <w:t xml:space="preserve"> </w:t>
      </w:r>
      <w:r>
        <w:rPr>
          <w:iCs/>
          <w:i/>
        </w:rPr>
        <w:t xml:space="preserve">Manual do Lucro Presumido e Lucro Real</w:t>
      </w:r>
      <w:r>
        <w:t xml:space="preserve">. Brasília: RFB.</w:t>
      </w:r>
    </w:p>
    <w:p>
      <w:pPr>
        <w:pStyle w:val="BodyText"/>
      </w:pPr>
      <w:r>
        <w:t xml:space="preserve">This federal manual explains the methodologies for calculating corporate income tax (IRPJ) and social contribution on net profit (CSLL). For accountants in São Paulo, where large enterprises are prevalent, the choice between "Lucro Presumido" (Presumed Profit) and "Lucro Real" (Actual Profit) regimes is a critical strategic decision. The document outlines the criteria for each regime and the documentation required for compliance. It is essential for accountants advising clients on tax planning and ensuring adherence to federal regulations that impact the financial health of businesses headquartered in the capital.</w:t>
      </w:r>
    </w:p>
    <w:bookmarkEnd w:id="22"/>
    <w:bookmarkStart w:id="23" w:name="X1bea3c4307237e39017eaee510991ddf87ef816"/>
    <w:p>
      <w:pPr>
        <w:pStyle w:val="Heading2"/>
      </w:pPr>
      <w:r>
        <w:t xml:space="preserve">Accounting Standards and Financial Reporting</w:t>
      </w:r>
    </w:p>
    <w:p>
      <w:pPr>
        <w:pStyle w:val="FirstParagraph"/>
      </w:pPr>
      <w:r>
        <w:t xml:space="preserve">Comissão de Valores Mobiliários (CVM). (2023).</w:t>
      </w:r>
      <w:r>
        <w:t xml:space="preserve"> </w:t>
      </w:r>
      <w:r>
        <w:rPr>
          <w:iCs/>
          <w:i/>
        </w:rPr>
        <w:t xml:space="preserve">Norma Regulamentadora CVM No. 60/2009: Demonstrações Contábeis</w:t>
      </w:r>
      <w:r>
        <w:t xml:space="preserve">. Brasília: CVM.</w:t>
      </w:r>
    </w:p>
    <w:p>
      <w:pPr>
        <w:pStyle w:val="BodyText"/>
      </w:pPr>
      <w:r>
        <w:t xml:space="preserve">The CVM is the Brazilian Securities and Exchange Commission, headquartered in Brasília but with its primary sphere of influence in São Paulo due to the location of the B3 stock exchange. This regulation mandates the adoption of International Financial Reporting Standards (IFRS) for publicly traded companies. For accountants in São Paulo working with listed companies or large corporations, this document is mandatory. It ensures that financial statements are transparent and comparable on a global scale, facilitating investment and maintaining the integrity of the Brazilian capital market.</w:t>
      </w:r>
    </w:p>
    <w:p>
      <w:pPr>
        <w:pStyle w:val="BodyText"/>
      </w:pPr>
      <w:r>
        <w:t xml:space="preserve">Conselho Brasileiro de Contabilidade (CBC). (2022).</w:t>
      </w:r>
      <w:r>
        <w:t xml:space="preserve"> </w:t>
      </w:r>
      <w:r>
        <w:rPr>
          <w:iCs/>
          <w:i/>
        </w:rPr>
        <w:t xml:space="preserve">Principais Pronunciamentos Contábeis (PCs)</w:t>
      </w:r>
      <w:r>
        <w:t xml:space="preserve">. São Paulo: FIESP/CIESP.</w:t>
      </w:r>
    </w:p>
    <w:p>
      <w:pPr>
        <w:pStyle w:val="BodyText"/>
      </w:pPr>
      <w:r>
        <w:t xml:space="preserve">This compilation gathers the main accounting pronouncements issued by the Brazilian Accounting Council. These standards adapt international norms to the Brazilian legal context. The publication is crucial for accountants in São Paulo who must navigate the dual requirement of complying with local laws and international best practices. It covers topics such as revenue recognition, financial instruments, and lease accounting, providing the technical framework necessary for accurate financial reporting in one of the world's most complex accounting jurisdictions.</w:t>
      </w:r>
    </w:p>
    <w:bookmarkEnd w:id="23"/>
    <w:bookmarkStart w:id="24" w:name="market-context-and-economic-analysis"/>
    <w:p>
      <w:pPr>
        <w:pStyle w:val="Heading2"/>
      </w:pPr>
      <w:r>
        <w:t xml:space="preserve">Market Context and Economic Analysis</w:t>
      </w:r>
    </w:p>
    <w:p>
      <w:pPr>
        <w:pStyle w:val="FirstParagraph"/>
      </w:pPr>
      <w:r>
        <w:t xml:space="preserve">Federação das Indústrias do Estado de São Paulo (FIESP). (2023).</w:t>
      </w:r>
      <w:r>
        <w:t xml:space="preserve"> </w:t>
      </w:r>
      <w:r>
        <w:rPr>
          <w:iCs/>
          <w:i/>
        </w:rPr>
        <w:t xml:space="preserve">Relatório Anual da Economia Paulista</w:t>
      </w:r>
      <w:r>
        <w:t xml:space="preserve">. São Paulo: FIESP.</w:t>
      </w:r>
    </w:p>
    <w:p>
      <w:pPr>
        <w:pStyle w:val="BodyText"/>
      </w:pPr>
      <w:r>
        <w:t xml:space="preserve">While not a technical accounting manual, this annual report by the Federation of Industries of the State of São Paulo provides critical economic context for accountants. It analyzes the performance of key sectors, inflation trends, and labor market dynamics within the state. For an accountant in São Paulo, understanding these macroeconomic indicators is essential for providing strategic advice to clients, forecasting financial performance, and interpreting the impact of economic policies on business operations. It bridges the gap between technical accounting and business strategy.</w:t>
      </w:r>
    </w:p>
    <w:p>
      <w:pPr>
        <w:pStyle w:val="BodyText"/>
      </w:pPr>
      <w:r>
        <w:t xml:space="preserve">B3 - Brasil Bolsa Balcão. (2023).</w:t>
      </w:r>
      <w:r>
        <w:t xml:space="preserve"> </w:t>
      </w:r>
      <w:r>
        <w:rPr>
          <w:iCs/>
          <w:i/>
        </w:rPr>
        <w:t xml:space="preserve">Regulamento do Mercado de Balcão</w:t>
      </w:r>
      <w:r>
        <w:t xml:space="preserve">. São Paulo: B3.</w:t>
      </w:r>
    </w:p>
    <w:p>
      <w:pPr>
        <w:pStyle w:val="BodyText"/>
      </w:pPr>
      <w:r>
        <w:t xml:space="preserve">This regulation governs the over-the-counter market in Brazil, which is a significant segment of the financial ecosystem in São Paulo. It outlines the requirements for companies seeking to raise capital outside the main stock exchange. Accountants involved in corporate finance, mergers, and acquisitions in São Paulo must be familiar with these rules to ensure that their clients meet the disclosure and governance standards required by the market. It highlights the importance of transparency and corporate governance in the Brazilian financial landscape.</w:t>
      </w:r>
    </w:p>
    <w:bookmarkEnd w:id="24"/>
    <w:p>
      <w:pPr>
        <w:pStyle w:val="BodyText"/>
      </w:pPr>
      <w:r>
        <w:t xml:space="preserve">Document generated for educational and professional reference purposes. All citations refer to official Brazilian regulatory bodies and institutions.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São Paulo, Brazil</dc:title>
  <dc:creator/>
  <dc:language>en</dc:language>
  <cp:keywords/>
  <dcterms:created xsi:type="dcterms:W3CDTF">2026-08-06T23:56:07Z</dcterms:created>
  <dcterms:modified xsi:type="dcterms:W3CDTF">2026-08-06T23:56:07Z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