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Guangzhou,</w:t>
      </w:r>
      <w:r>
        <w:t xml:space="preserve"> </w:t>
      </w:r>
      <w:r>
        <w:t xml:space="preserve">China</w:t>
      </w:r>
    </w:p>
    <w:bookmarkStart w:id="30" w:name="X0c7af4edf600ab98f3b6b7ab567a17ebc58f584"/>
    <w:p>
      <w:pPr>
        <w:pStyle w:val="Heading1"/>
      </w:pPr>
      <w:r>
        <w:t xml:space="preserve">Annotated Bibliography: The Role of the Accountant in Guangzhou, China</w:t>
      </w:r>
    </w:p>
    <w:p>
      <w:pPr>
        <w:pStyle w:val="FirstParagraph"/>
      </w:pPr>
      <w:r>
        <w:rPr>
          <w:bCs/>
          <w:b/>
        </w:rPr>
        <w:t xml:space="preserve">Subject:</w:t>
      </w:r>
      <w:r>
        <w:t xml:space="preserve"> </w:t>
      </w:r>
      <w:r>
        <w:t xml:space="preserve">Accounting Standards, Regulatory Compliance, and Professional Practice</w:t>
      </w:r>
      <w:r>
        <w:br/>
      </w:r>
      <w:r>
        <w:rPr>
          <w:bCs/>
          <w:b/>
        </w:rPr>
        <w:t xml:space="preserve">Region:</w:t>
      </w:r>
      <w:r>
        <w:t xml:space="preserve"> </w:t>
      </w:r>
      <w:r>
        <w:t xml:space="preserve">Guangzhou, Guangdong Province, People's Republic of China</w:t>
      </w:r>
      <w:r>
        <w:br/>
      </w:r>
      <w:r>
        <w:rPr>
          <w:bCs/>
          <w:b/>
        </w:rPr>
        <w:t xml:space="preserve">Date:</w:t>
      </w:r>
      <w:r>
        <w:t xml:space="preserve"> </w:t>
      </w:r>
      <w:r>
        <w:t xml:space="preserve">October 2023</w:t>
      </w:r>
    </w:p>
    <w:bookmarkStart w:id="20" w:name="introduction"/>
    <w:p>
      <w:pPr>
        <w:pStyle w:val="Heading2"/>
      </w:pPr>
      <w:r>
        <w:t xml:space="preserve">Introduction</w:t>
      </w:r>
    </w:p>
    <w:p>
      <w:pPr>
        <w:pStyle w:val="FirstParagraph"/>
      </w:pPr>
      <w:r>
        <w:t xml:space="preserve">This annotated bibliography compiles essential resources regarding the profession of the</w:t>
      </w:r>
      <w:r>
        <w:t xml:space="preserve"> </w:t>
      </w:r>
      <w:r>
        <w:rPr>
          <w:bCs/>
          <w:b/>
        </w:rPr>
        <w:t xml:space="preserve">Accountant</w:t>
      </w:r>
      <w:r>
        <w:t xml:space="preserve"> </w:t>
      </w:r>
      <w:r>
        <w:t xml:space="preserve">within the specific economic and regulatory context of</w:t>
      </w:r>
      <w:r>
        <w:t xml:space="preserve"> </w:t>
      </w:r>
      <w:r>
        <w:rPr>
          <w:bCs/>
          <w:b/>
        </w:rPr>
        <w:t xml:space="preserve">China Guangzhou</w:t>
      </w:r>
      <w:r>
        <w:t xml:space="preserve">. As a major financial hub in the Greater Bay Area, Guangzhou presents unique challenges and opportunities for accounting professionals. The selected sources cover the convergence of Chinese Accounting Standards (CAS) with International Financial Reporting Standards (IFRS), local tax regulations in Guangdong, and the evolving role of technology in financial reporting. These references are critical for understanding the operational landscape for accountants working in multinational corporations, local enterprises, and government bodies in the region.</w:t>
      </w:r>
    </w:p>
    <w:bookmarkEnd w:id="20"/>
    <w:bookmarkStart w:id="29" w:name="bibliographic-entries"/>
    <w:p>
      <w:pPr>
        <w:pStyle w:val="Heading2"/>
      </w:pPr>
      <w:r>
        <w:t xml:space="preserve">Bibliographic Entries</w:t>
      </w:r>
    </w:p>
    <w:bookmarkStart w:id="21" w:name="X0e3e4fb592443bb1262362cba007acd5bae5079"/>
    <w:p>
      <w:pPr>
        <w:pStyle w:val="Heading3"/>
      </w:pPr>
      <w:r>
        <w:t xml:space="preserve">1. Ministry of Finance of the People's Republic of China. (2023).</w:t>
      </w:r>
      <w:r>
        <w:t xml:space="preserve"> </w:t>
      </w:r>
      <w:r>
        <w:rPr>
          <w:iCs/>
          <w:i/>
        </w:rPr>
        <w:t xml:space="preserve">Chinese Accounting Standards for Business Enterprises (CASBE)</w:t>
      </w:r>
      <w:r>
        <w:t xml:space="preserve">. Beijing: Ministry of Finance.</w:t>
      </w:r>
    </w:p>
    <w:p>
      <w:pPr>
        <w:pStyle w:val="FirstParagraph"/>
      </w:pPr>
      <w:r>
        <w:t xml:space="preserve">Primary Source / Government Regulation</w:t>
      </w:r>
    </w:p>
    <w:p>
      <w:pPr>
        <w:pStyle w:val="BodyText"/>
      </w:pPr>
      <w:r>
        <w:t xml:space="preserve">This comprehensive document outlines the mandatory accounting standards for all enterprises in China. It details the principles of recognition, measurement, presentation, and disclosure. The standards have undergone significant revisions to align closely with IFRS, facilitating cross-border investment.</w:t>
      </w:r>
    </w:p>
    <w:p>
      <w:pPr>
        <w:pStyle w:val="BodyText"/>
      </w:pPr>
      <w:r>
        <w:t xml:space="preserve">As the foundational legal framework, this source is authoritative and indispensable. It provides the exact technical requirements an accountant must follow to ensure compliance.</w:t>
      </w:r>
    </w:p>
    <w:p>
      <w:pPr>
        <w:pStyle w:val="BodyText"/>
      </w:pPr>
      <w:r>
        <w:t xml:space="preserve">For an</w:t>
      </w:r>
      <w:r>
        <w:t xml:space="preserve"> </w:t>
      </w:r>
      <w:r>
        <w:rPr>
          <w:bCs/>
          <w:b/>
        </w:rPr>
        <w:t xml:space="preserve">Accountant</w:t>
      </w:r>
      <w:r>
        <w:t xml:space="preserve"> </w:t>
      </w:r>
      <w:r>
        <w:t xml:space="preserve">in</w:t>
      </w:r>
      <w:r>
        <w:t xml:space="preserve"> </w:t>
      </w:r>
      <w:r>
        <w:rPr>
          <w:bCs/>
          <w:b/>
        </w:rPr>
        <w:t xml:space="preserve">China Guangzhou</w:t>
      </w:r>
      <w:r>
        <w:t xml:space="preserve">, this is the primary reference for preparing financial statements. Whether working for a local manufacturing firm in Nansha or a tech startup in Tianhe, adherence to CASBE is non-negotiable for legal operation.</w:t>
      </w:r>
    </w:p>
    <w:bookmarkEnd w:id="21"/>
    <w:bookmarkStart w:id="22" w:name="X3b8d27977c84d0c474ce39f0382b2e4b2ad0c20"/>
    <w:p>
      <w:pPr>
        <w:pStyle w:val="Heading3"/>
      </w:pPr>
      <w:r>
        <w:t xml:space="preserve">2. State Administration of Taxation (SAT). (2022).</w:t>
      </w:r>
      <w:r>
        <w:t xml:space="preserve"> </w:t>
      </w:r>
      <w:r>
        <w:rPr>
          <w:iCs/>
          <w:i/>
        </w:rPr>
        <w:t xml:space="preserve">Guidelines on Corporate Income Tax Implementation in the Greater Bay Area</w:t>
      </w:r>
      <w:r>
        <w:t xml:space="preserve">. Beijing: SAT Press.</w:t>
      </w:r>
    </w:p>
    <w:p>
      <w:pPr>
        <w:pStyle w:val="FirstParagraph"/>
      </w:pPr>
      <w:r>
        <w:t xml:space="preserve">Government Publication / Tax Policy</w:t>
      </w:r>
    </w:p>
    <w:p>
      <w:pPr>
        <w:pStyle w:val="BodyText"/>
      </w:pPr>
      <w:r>
        <w:t xml:space="preserve">This publication details specific tax incentives and compliance requirements for businesses operating within the Greater Bay Area, which includes Guangzhou. It covers deductions for R&amp;D, cross-border tax treaties, and digital invoicing mandates.</w:t>
      </w:r>
    </w:p>
    <w:p>
      <w:pPr>
        <w:pStyle w:val="BodyText"/>
      </w:pPr>
      <w:r>
        <w:t xml:space="preserve">The document is highly practical and up-to-date. It bridges the gap between national tax law and regional economic policies, offering clarity on complex cross-border transactions common in the region.</w:t>
      </w:r>
    </w:p>
    <w:p>
      <w:pPr>
        <w:pStyle w:val="BodyText"/>
      </w:pPr>
      <w:r>
        <w:t xml:space="preserve">Taxation is a core function of the</w:t>
      </w:r>
      <w:r>
        <w:t xml:space="preserve"> </w:t>
      </w:r>
      <w:r>
        <w:rPr>
          <w:bCs/>
          <w:b/>
        </w:rPr>
        <w:t xml:space="preserve">Accountant</w:t>
      </w:r>
      <w:r>
        <w:t xml:space="preserve"> </w:t>
      </w:r>
      <w:r>
        <w:t xml:space="preserve">role. In</w:t>
      </w:r>
      <w:r>
        <w:t xml:space="preserve"> </w:t>
      </w:r>
      <w:r>
        <w:rPr>
          <w:bCs/>
          <w:b/>
        </w:rPr>
        <w:t xml:space="preserve">China Guangzhou</w:t>
      </w:r>
      <w:r>
        <w:t xml:space="preserve">, where foreign direct investment is high, understanding these specific SAT guidelines is crucial for optimizing tax liabilities and avoiding penalties during audits.</w:t>
      </w:r>
    </w:p>
    <w:bookmarkEnd w:id="22"/>
    <w:bookmarkStart w:id="23" w:name="X212e48f8e6be5761db229cd1be8ce3a92f53b95"/>
    <w:p>
      <w:pPr>
        <w:pStyle w:val="Heading3"/>
      </w:pPr>
      <w:r>
        <w:t xml:space="preserve">3. Institute of Certified Public Accountants of China (CICPA). (2023).</w:t>
      </w:r>
      <w:r>
        <w:t xml:space="preserve"> </w:t>
      </w:r>
      <w:r>
        <w:rPr>
          <w:iCs/>
          <w:i/>
        </w:rPr>
        <w:t xml:space="preserve">Annual Report on the Development of the Accounting Profession in Guangdong Province</w:t>
      </w:r>
      <w:r>
        <w:t xml:space="preserve">. Guangzhou: CICPA Guangdong Branch.</w:t>
      </w:r>
    </w:p>
    <w:p>
      <w:pPr>
        <w:pStyle w:val="FirstParagraph"/>
      </w:pPr>
      <w:r>
        <w:t xml:space="preserve">Professional Association Report</w:t>
      </w:r>
    </w:p>
    <w:p>
      <w:pPr>
        <w:pStyle w:val="BodyText"/>
      </w:pPr>
      <w:r>
        <w:t xml:space="preserve">This report analyzes the current state of the accounting profession in Guangdong. It highlights trends in digital transformation, the demand for international accounting qualifications (such as ACCA and CPA), and the ethical standards expected of practitioners.</w:t>
      </w:r>
    </w:p>
    <w:p>
      <w:pPr>
        <w:pStyle w:val="BodyText"/>
      </w:pPr>
      <w:r>
        <w:t xml:space="preserve">Written by the governing professional body, this source offers credible insights into market trends. It is particularly strong in its data regarding the skills gap and the increasing need for IT-literacy among accountants.</w:t>
      </w:r>
    </w:p>
    <w:p>
      <w:pPr>
        <w:pStyle w:val="BodyText"/>
      </w:pPr>
      <w:r>
        <w:t xml:space="preserve">This is vital for career planning for any</w:t>
      </w:r>
      <w:r>
        <w:t xml:space="preserve"> </w:t>
      </w:r>
      <w:r>
        <w:rPr>
          <w:bCs/>
          <w:b/>
        </w:rPr>
        <w:t xml:space="preserve">Accountant</w:t>
      </w:r>
      <w:r>
        <w:t xml:space="preserve"> </w:t>
      </w:r>
      <w:r>
        <w:t xml:space="preserve">in</w:t>
      </w:r>
      <w:r>
        <w:t xml:space="preserve"> </w:t>
      </w:r>
      <w:r>
        <w:rPr>
          <w:bCs/>
          <w:b/>
        </w:rPr>
        <w:t xml:space="preserve">China Guangzhou</w:t>
      </w:r>
      <w:r>
        <w:t xml:space="preserve">. It outlines the local expectations for professional development and highlights the competitive landscape of accounting firms in the city.</w:t>
      </w:r>
    </w:p>
    <w:bookmarkEnd w:id="23"/>
    <w:bookmarkStart w:id="24" w:name="X010babfd609c76eafd7ed911e68e6e46a8b1110"/>
    <w:p>
      <w:pPr>
        <w:pStyle w:val="Heading3"/>
      </w:pPr>
      <w:r>
        <w:t xml:space="preserve">4. Zhang, L., &amp; Li, W. (2021). "The Impact of Golden Tax Phase IV on Financial Reporting in Southern China."</w:t>
      </w:r>
      <w:r>
        <w:t xml:space="preserve"> </w:t>
      </w:r>
      <w:r>
        <w:rPr>
          <w:iCs/>
          <w:i/>
        </w:rPr>
        <w:t xml:space="preserve">Journal of Chinese Accounting Research</w:t>
      </w:r>
      <w:r>
        <w:t xml:space="preserve">, 18(2), 112-130.</w:t>
      </w:r>
    </w:p>
    <w:p>
      <w:pPr>
        <w:pStyle w:val="FirstParagraph"/>
      </w:pPr>
      <w:r>
        <w:t xml:space="preserve">Academic Journal Article</w:t>
      </w:r>
    </w:p>
    <w:p>
      <w:pPr>
        <w:pStyle w:val="BodyText"/>
      </w:pPr>
      <w:r>
        <w:t xml:space="preserve">This article examines the implementation of the "Golden Tax Phase IV" system, a massive digital tax administration project. It focuses on how real-time data sharing between banks, tax authorities, and enterprises affects financial reporting accuracy and transparency.</w:t>
      </w:r>
    </w:p>
    <w:p>
      <w:pPr>
        <w:pStyle w:val="BodyText"/>
      </w:pPr>
      <w:r>
        <w:t xml:space="preserve">The research is rigorous and provides a forward-looking perspective. It effectively explains the technological shift from manual reporting to automated, AI-driven tax compliance.</w:t>
      </w:r>
    </w:p>
    <w:p>
      <w:pPr>
        <w:pStyle w:val="BodyText"/>
      </w:pPr>
      <w:r>
        <w:t xml:space="preserve">For the modern</w:t>
      </w:r>
      <w:r>
        <w:t xml:space="preserve"> </w:t>
      </w:r>
      <w:r>
        <w:rPr>
          <w:bCs/>
          <w:b/>
        </w:rPr>
        <w:t xml:space="preserve">Accountant</w:t>
      </w:r>
      <w:r>
        <w:t xml:space="preserve"> </w:t>
      </w:r>
      <w:r>
        <w:t xml:space="preserve">in</w:t>
      </w:r>
      <w:r>
        <w:t xml:space="preserve"> </w:t>
      </w:r>
      <w:r>
        <w:rPr>
          <w:bCs/>
          <w:b/>
        </w:rPr>
        <w:t xml:space="preserve">China Guangzhou</w:t>
      </w:r>
      <w:r>
        <w:t xml:space="preserve">, this article is essential. It explains the technical infrastructure they must interact with daily. Understanding Golden Tax IV is critical for managing cash flow and ensuring that financial data matches tax declarations in real-time.</w:t>
      </w:r>
    </w:p>
    <w:bookmarkEnd w:id="24"/>
    <w:bookmarkStart w:id="25" w:name="X37a367752a2de3bd7081a1693efad73a263ab5b"/>
    <w:p>
      <w:pPr>
        <w:pStyle w:val="Heading3"/>
      </w:pPr>
      <w:r>
        <w:t xml:space="preserve">5. PwC China. (2023).</w:t>
      </w:r>
      <w:r>
        <w:t xml:space="preserve"> </w:t>
      </w:r>
      <w:r>
        <w:rPr>
          <w:iCs/>
          <w:i/>
        </w:rPr>
        <w:t xml:space="preserve">Guangzhou Economic Outlook and Regulatory Update for Multinational Corporations</w:t>
      </w:r>
      <w:r>
        <w:t xml:space="preserve">. Shanghai: PricewaterhouseCoopers.</w:t>
      </w:r>
    </w:p>
    <w:p>
      <w:pPr>
        <w:pStyle w:val="FirstParagraph"/>
      </w:pPr>
      <w:r>
        <w:t xml:space="preserve">Industry Report / Consulting Firm</w:t>
      </w:r>
    </w:p>
    <w:p>
      <w:pPr>
        <w:pStyle w:val="BodyText"/>
      </w:pPr>
      <w:r>
        <w:t xml:space="preserve">This report provides a strategic overview of the business environment in Guangzhou. It includes sections on foreign exchange controls, transfer pricing regulations, and the specific accounting needs of foreign-invested enterprises (FIEs).</w:t>
      </w:r>
    </w:p>
    <w:p>
      <w:pPr>
        <w:pStyle w:val="BodyText"/>
      </w:pPr>
      <w:r>
        <w:t xml:space="preserve">As a product of a Big Four accounting firm, this source is highly reliable and practical. It translates complex regulations into actionable business advice.</w:t>
      </w:r>
    </w:p>
    <w:p>
      <w:pPr>
        <w:pStyle w:val="BodyText"/>
      </w:pPr>
      <w:r>
        <w:t xml:space="preserve">Many</w:t>
      </w:r>
      <w:r>
        <w:t xml:space="preserve"> </w:t>
      </w:r>
      <w:r>
        <w:rPr>
          <w:bCs/>
          <w:b/>
        </w:rPr>
        <w:t xml:space="preserve">Accountant</w:t>
      </w:r>
      <w:r>
        <w:t xml:space="preserve"> </w:t>
      </w:r>
      <w:r>
        <w:t xml:space="preserve">roles in</w:t>
      </w:r>
      <w:r>
        <w:t xml:space="preserve"> </w:t>
      </w:r>
      <w:r>
        <w:rPr>
          <w:bCs/>
          <w:b/>
        </w:rPr>
        <w:t xml:space="preserve">China Guangzhou</w:t>
      </w:r>
      <w:r>
        <w:t xml:space="preserve"> </w:t>
      </w:r>
      <w:r>
        <w:t xml:space="preserve">are within FIEs. This document helps professionals navigate the dual requirements of local Chinese reporting and global group reporting, ensuring consistency across borders.</w:t>
      </w:r>
    </w:p>
    <w:bookmarkEnd w:id="25"/>
    <w:bookmarkStart w:id="26" w:name="Xa4cc9a595f74e60ea1565224d16c93663995d73"/>
    <w:p>
      <w:pPr>
        <w:pStyle w:val="Heading3"/>
      </w:pPr>
      <w:r>
        <w:t xml:space="preserve">6. Guangdong Provincial Department of Human Resources and Social Security. (2022).</w:t>
      </w:r>
      <w:r>
        <w:t xml:space="preserve"> </w:t>
      </w:r>
      <w:r>
        <w:rPr>
          <w:iCs/>
          <w:i/>
        </w:rPr>
        <w:t xml:space="preserve">Regulations on the Professional Title Evaluation for Accounting Personnel</w:t>
      </w:r>
      <w:r>
        <w:t xml:space="preserve">. Guangzhou: Provincial Government.</w:t>
      </w:r>
    </w:p>
    <w:p>
      <w:pPr>
        <w:pStyle w:val="FirstParagraph"/>
      </w:pPr>
      <w:r>
        <w:t xml:space="preserve">Government Regulation / HR Policy</w:t>
      </w:r>
    </w:p>
    <w:p>
      <w:pPr>
        <w:pStyle w:val="BodyText"/>
      </w:pPr>
      <w:r>
        <w:t xml:space="preserve">This document outlines the criteria for obtaining professional titles (Junior, Intermediate, Senior Accountant) in Guangdong. It details the examination requirements, work experience needed, and continuing education credits required.</w:t>
      </w:r>
    </w:p>
    <w:p>
      <w:pPr>
        <w:pStyle w:val="BodyText"/>
      </w:pPr>
      <w:r>
        <w:t xml:space="preserve">This is an official administrative document. It is precise and leaves little room for interpretation regarding career progression requirements within the public and private sectors.</w:t>
      </w:r>
    </w:p>
    <w:p>
      <w:pPr>
        <w:pStyle w:val="BodyText"/>
      </w:pPr>
      <w:r>
        <w:t xml:space="preserve">In</w:t>
      </w:r>
      <w:r>
        <w:t xml:space="preserve"> </w:t>
      </w:r>
      <w:r>
        <w:rPr>
          <w:bCs/>
          <w:b/>
        </w:rPr>
        <w:t xml:space="preserve">China Guangzhou</w:t>
      </w:r>
      <w:r>
        <w:t xml:space="preserve">, professional titles are often linked to salary scales and government benefits. An</w:t>
      </w:r>
      <w:r>
        <w:t xml:space="preserve"> </w:t>
      </w:r>
      <w:r>
        <w:rPr>
          <w:bCs/>
          <w:b/>
        </w:rPr>
        <w:t xml:space="preserve">Accountant</w:t>
      </w:r>
      <w:r>
        <w:t xml:space="preserve"> </w:t>
      </w:r>
      <w:r>
        <w:t xml:space="preserve">must use this guide to plan their certification path and ensure they meet the local criteria for promotion.</w:t>
      </w:r>
    </w:p>
    <w:bookmarkEnd w:id="26"/>
    <w:bookmarkStart w:id="27" w:name="Xa76529b7775579494d0c2b71f9b346453af6101"/>
    <w:p>
      <w:pPr>
        <w:pStyle w:val="Heading3"/>
      </w:pPr>
      <w:r>
        <w:t xml:space="preserve">7. Chen, Y. (2020). "Internal Control Systems in Chinese Manufacturing: A Case Study of Guangzhou Enterprises."</w:t>
      </w:r>
      <w:r>
        <w:t xml:space="preserve"> </w:t>
      </w:r>
      <w:r>
        <w:rPr>
          <w:iCs/>
          <w:i/>
        </w:rPr>
        <w:t xml:space="preserve">Asian Review of Accounting</w:t>
      </w:r>
      <w:r>
        <w:t xml:space="preserve">, 28(4), 45-62.</w:t>
      </w:r>
    </w:p>
    <w:p>
      <w:pPr>
        <w:pStyle w:val="FirstParagraph"/>
      </w:pPr>
      <w:r>
        <w:t xml:space="preserve">Academic Case Study</w:t>
      </w:r>
    </w:p>
    <w:p>
      <w:pPr>
        <w:pStyle w:val="BodyText"/>
      </w:pPr>
      <w:r>
        <w:t xml:space="preserve">This study investigates the effectiveness of internal control frameworks in manufacturing companies in Guangzhou. It identifies common weaknesses in inventory management and procurement processes and suggests improvements based on the COSO framework.</w:t>
      </w:r>
    </w:p>
    <w:p>
      <w:pPr>
        <w:pStyle w:val="BodyText"/>
      </w:pPr>
      <w:r>
        <w:t xml:space="preserve">The case study approach makes the theoretical concepts of internal control tangible. It provides real-world examples of risks that accountants face in the local industrial sector.</w:t>
      </w:r>
    </w:p>
    <w:p>
      <w:pPr>
        <w:pStyle w:val="BodyText"/>
      </w:pPr>
      <w:r>
        <w:t xml:space="preserve">Guangzhou is a manufacturing powerhouse. For an</w:t>
      </w:r>
      <w:r>
        <w:t xml:space="preserve"> </w:t>
      </w:r>
      <w:r>
        <w:rPr>
          <w:bCs/>
          <w:b/>
        </w:rPr>
        <w:t xml:space="preserve">Accountant</w:t>
      </w:r>
      <w:r>
        <w:t xml:space="preserve"> </w:t>
      </w:r>
      <w:r>
        <w:t xml:space="preserve">working in this sector, this article offers practical strategies to strengthen internal controls, reduce fraud risk, and improve operational efficiency.</w:t>
      </w:r>
    </w:p>
    <w:bookmarkEnd w:id="27"/>
    <w:bookmarkStart w:id="28" w:name="Xf3e1b848e3e257e6166f1f988fab5163bc20120"/>
    <w:p>
      <w:pPr>
        <w:pStyle w:val="Heading3"/>
      </w:pPr>
      <w:r>
        <w:t xml:space="preserve">8. International Federation of Accountants (IFAC). (2023).</w:t>
      </w:r>
      <w:r>
        <w:t xml:space="preserve"> </w:t>
      </w:r>
      <w:r>
        <w:rPr>
          <w:iCs/>
          <w:i/>
        </w:rPr>
        <w:t xml:space="preserve">Handbook of International Quality Management, Auditing, Review, Other Assurance, and Related Services Pronouncements</w:t>
      </w:r>
      <w:r>
        <w:t xml:space="preserve">. New York: IFAC.</w:t>
      </w:r>
    </w:p>
    <w:p>
      <w:pPr>
        <w:pStyle w:val="FirstParagraph"/>
      </w:pPr>
      <w:r>
        <w:t xml:space="preserve">International Standard / Reference</w:t>
      </w:r>
    </w:p>
    <w:p>
      <w:pPr>
        <w:pStyle w:val="BodyText"/>
      </w:pPr>
      <w:r>
        <w:t xml:space="preserve">This handbook contains the global standards for auditing and assurance. While not law in China, it serves as the benchmark for international quality and is often adopted by multinational firms operating in the country.</w:t>
      </w:r>
    </w:p>
    <w:p>
      <w:pPr>
        <w:pStyle w:val="BodyText"/>
      </w:pPr>
      <w:r>
        <w:t xml:space="preserve">This is the gold standard for auditing quality globally. It provides a comparative framework to understand how Chinese practices align with or diverge from global norms.</w:t>
      </w:r>
    </w:p>
    <w:p>
      <w:pPr>
        <w:pStyle w:val="BodyText"/>
      </w:pPr>
      <w:r>
        <w:t xml:space="preserve">For an</w:t>
      </w:r>
      <w:r>
        <w:t xml:space="preserve"> </w:t>
      </w:r>
      <w:r>
        <w:rPr>
          <w:bCs/>
          <w:b/>
        </w:rPr>
        <w:t xml:space="preserve">Accountant</w:t>
      </w:r>
      <w:r>
        <w:t xml:space="preserve"> </w:t>
      </w:r>
      <w:r>
        <w:t xml:space="preserve">in</w:t>
      </w:r>
      <w:r>
        <w:t xml:space="preserve"> </w:t>
      </w:r>
      <w:r>
        <w:rPr>
          <w:bCs/>
          <w:b/>
        </w:rPr>
        <w:t xml:space="preserve">China Guangzhou</w:t>
      </w:r>
      <w:r>
        <w:t xml:space="preserve"> </w:t>
      </w:r>
      <w:r>
        <w:t xml:space="preserve">working for a global firm, this handbook is essential for maintaining consistency with headquarters. It ensures that audits performed in Guangzhou meet international expectations, facilitating global capital raising and investor confidence.</w:t>
      </w:r>
    </w:p>
    <w:bookmarkEnd w:id="28"/>
    <w:p>
      <w:pPr>
        <w:pStyle w:val="BodyText"/>
      </w:pPr>
      <w:r>
        <w:t xml:space="preserve">© 2023 Annotated Bibliography on Accounting in Guangzhou.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Guangzhou, China</dc:title>
  <dc:creator/>
  <dc:language>en</dc:language>
  <cp:keywords/>
  <dcterms:created xsi:type="dcterms:W3CDTF">2026-08-07T03:02:13Z</dcterms:created>
  <dcterms:modified xsi:type="dcterms:W3CDTF">2026-08-07T03:02:13Z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