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Paris</w:t>
      </w:r>
    </w:p>
    <w:bookmarkStart w:id="24" w:name="Xdcde0721a5341bdc96e101eb078390e1085f7f9"/>
    <w:p>
      <w:pPr>
        <w:pStyle w:val="Heading1"/>
      </w:pPr>
      <w:r>
        <w:t xml:space="preserve">Annotated Bibliography: The Role and Regulation of the Accountant in France Paris</w:t>
      </w:r>
    </w:p>
    <w:p>
      <w:pPr>
        <w:pStyle w:val="FirstParagraph"/>
      </w:pPr>
      <w:r>
        <w:t xml:space="preserve">The following annotated bibliography compiles essential resources regarding the profession of the accountant within the specific jurisdiction of France, with a concentrated focus on the capital city of Paris. Paris serves as the financial epicenter of the nation, hosting the headquarters of major multinational corporations, the Paris Stock Exchange (Euronext Paris), and the primary regulatory bodies governing financial reporting. Understanding the accountant's role in this environment requires navigating the complex</w:t>
      </w:r>
      <w:r>
        <w:t xml:space="preserve"> </w:t>
      </w:r>
      <w:r>
        <w:rPr>
          <w:iCs/>
          <w:i/>
        </w:rPr>
        <w:t xml:space="preserve">Code de Commerce</w:t>
      </w:r>
      <w:r>
        <w:t xml:space="preserve">, the specific mandates of the</w:t>
      </w:r>
      <w:r>
        <w:t xml:space="preserve"> </w:t>
      </w:r>
      <w:r>
        <w:rPr>
          <w:iCs/>
          <w:i/>
        </w:rPr>
        <w:t xml:space="preserve">Ordre des Experts-Comptables</w:t>
      </w:r>
      <w:r>
        <w:t xml:space="preserve">, and the unique cultural and legal expectations of the Parisian business ecosystem. These sources provide a comprehensive overview of the legal frameworks, ethical standards, and professional practices that define accounting in this region.</w:t>
      </w:r>
    </w:p>
    <w:bookmarkStart w:id="20" w:name="X7406ddbe44dbb05ecd912f8e79cb0e67358690f"/>
    <w:p>
      <w:pPr>
        <w:pStyle w:val="Heading2"/>
      </w:pPr>
      <w:r>
        <w:t xml:space="preserve">Regulatory Frameworks and Legal Standards</w:t>
      </w:r>
    </w:p>
    <w:p>
      <w:pPr>
        <w:pStyle w:val="FirstParagraph"/>
      </w:pPr>
      <w:r>
        <w:t xml:space="preserve">Ministère de l'Économie et des Finances. (2023).</w:t>
      </w:r>
      <w:r>
        <w:t xml:space="preserve"> </w:t>
      </w:r>
      <w:r>
        <w:rPr>
          <w:iCs/>
          <w:i/>
        </w:rPr>
        <w:t xml:space="preserve">Code de Commerce: Livre II - Des sociétés commerciales et des groupements d'intérêt économique</w:t>
      </w:r>
      <w:r>
        <w:t xml:space="preserve">. Paris: Légifrance.</w:t>
      </w:r>
    </w:p>
    <w:p>
      <w:pPr>
        <w:pStyle w:val="BodyText"/>
      </w:pPr>
      <w:r>
        <w:t xml:space="preserve">This primary legal source is indispensable for any accountant operating in France, particularly in Paris where corporate density is highest. The</w:t>
      </w:r>
      <w:r>
        <w:t xml:space="preserve"> </w:t>
      </w:r>
      <w:r>
        <w:rPr>
          <w:iCs/>
          <w:i/>
        </w:rPr>
        <w:t xml:space="preserve">Code de Commerce</w:t>
      </w:r>
      <w:r>
        <w:t xml:space="preserve"> </w:t>
      </w:r>
      <w:r>
        <w:t xml:space="preserve">outlines the statutory requirements for financial reporting, including the preparation of the</w:t>
      </w:r>
      <w:r>
        <w:t xml:space="preserve"> </w:t>
      </w:r>
      <w:r>
        <w:rPr>
          <w:iCs/>
          <w:i/>
        </w:rPr>
        <w:t xml:space="preserve">Bilan</w:t>
      </w:r>
      <w:r>
        <w:t xml:space="preserve"> </w:t>
      </w:r>
      <w:r>
        <w:t xml:space="preserve">(balance sheet),</w:t>
      </w:r>
      <w:r>
        <w:t xml:space="preserve"> </w:t>
      </w:r>
      <w:r>
        <w:rPr>
          <w:iCs/>
          <w:i/>
        </w:rPr>
        <w:t xml:space="preserve">Compte de Résultat</w:t>
      </w:r>
      <w:r>
        <w:t xml:space="preserve"> </w:t>
      </w:r>
      <w:r>
        <w:t xml:space="preserve">(income statement), and</w:t>
      </w:r>
      <w:r>
        <w:t xml:space="preserve"> </w:t>
      </w:r>
      <w:r>
        <w:rPr>
          <w:iCs/>
          <w:i/>
        </w:rPr>
        <w:t xml:space="preserve">Annexes</w:t>
      </w:r>
      <w:r>
        <w:t xml:space="preserve">. For an accountant in Paris, adherence to these codes is not merely a professional courtesy but a legal obligation enforced by the</w:t>
      </w:r>
      <w:r>
        <w:t xml:space="preserve"> </w:t>
      </w:r>
      <w:r>
        <w:rPr>
          <w:iCs/>
          <w:i/>
        </w:rPr>
        <w:t xml:space="preserve">Greffe du Tribunal de Commerce</w:t>
      </w:r>
      <w:r>
        <w:t xml:space="preserve">. This text details the specific obligations for different corporate structures prevalent in the French capital, such as the</w:t>
      </w:r>
      <w:r>
        <w:t xml:space="preserve"> </w:t>
      </w:r>
      <w:r>
        <w:rPr>
          <w:iCs/>
          <w:i/>
        </w:rPr>
        <w:t xml:space="preserve">Société par Actions Simplifiée</w:t>
      </w:r>
      <w:r>
        <w:t xml:space="preserve"> </w:t>
      </w:r>
      <w:r>
        <w:t xml:space="preserve">(SAS) and</w:t>
      </w:r>
      <w:r>
        <w:t xml:space="preserve"> </w:t>
      </w:r>
      <w:r>
        <w:rPr>
          <w:iCs/>
          <w:i/>
        </w:rPr>
        <w:t xml:space="preserve">Société Anonyme</w:t>
      </w:r>
      <w:r>
        <w:t xml:space="preserve"> </w:t>
      </w:r>
      <w:r>
        <w:t xml:space="preserve">(SA). It serves as the foundational reference for understanding the legal boundaries within which a French accountant must operate, ensuring compliance with national fiscal laws that are strictly monitored in the Parisian judicial district.</w:t>
      </w:r>
    </w:p>
    <w:p>
      <w:pPr>
        <w:pStyle w:val="BodyText"/>
      </w:pPr>
      <w:r>
        <w:t xml:space="preserve">Autorité des Normes Comptables (ANC). (2022).</w:t>
      </w:r>
      <w:r>
        <w:t xml:space="preserve"> </w:t>
      </w:r>
      <w:r>
        <w:rPr>
          <w:iCs/>
          <w:i/>
        </w:rPr>
        <w:t xml:space="preserve">Plan Comptable Général (PCG): The General Accounting Plan</w:t>
      </w:r>
      <w:r>
        <w:t xml:space="preserve">. Paris: ANC Publications.</w:t>
      </w:r>
    </w:p>
    <w:p>
      <w:pPr>
        <w:pStyle w:val="BodyText"/>
      </w:pPr>
      <w:r>
        <w:t xml:space="preserve">The</w:t>
      </w:r>
      <w:r>
        <w:t xml:space="preserve"> </w:t>
      </w:r>
      <w:r>
        <w:rPr>
          <w:iCs/>
          <w:i/>
        </w:rPr>
        <w:t xml:space="preserve">Plan Comptable Général</w:t>
      </w:r>
      <w:r>
        <w:t xml:space="preserve"> </w:t>
      </w:r>
      <w:r>
        <w:t xml:space="preserve">(PCG) is the standardized chart of accounts used by all businesses in France. This publication by the ANC is critical for accountants in Paris who must ensure uniformity and comparability in financial statements. Unlike the more principle-based IFRS often used by large multinationals, the PCG is highly prescriptive, dictating exactly how transactions should be classified and recorded. For an accountant working in the diverse Parisian market—ranging from small</w:t>
      </w:r>
      <w:r>
        <w:t xml:space="preserve"> </w:t>
      </w:r>
      <w:r>
        <w:rPr>
          <w:iCs/>
          <w:i/>
        </w:rPr>
        <w:t xml:space="preserve">Entreprises Individuelles</w:t>
      </w:r>
      <w:r>
        <w:t xml:space="preserve"> </w:t>
      </w:r>
      <w:r>
        <w:t xml:space="preserve">to large conglomerates—mastery of the PCG is essential. This document provides the technical vocabulary and structural framework necessary for accurate bookkeeping and reporting, ensuring that financial data aligns with the expectations of French tax authorities and stakeholders in the capital.</w:t>
      </w:r>
    </w:p>
    <w:bookmarkEnd w:id="20"/>
    <w:bookmarkStart w:id="21" w:name="professional-ethics-and-governance"/>
    <w:p>
      <w:pPr>
        <w:pStyle w:val="Heading2"/>
      </w:pPr>
      <w:r>
        <w:t xml:space="preserve">Professional Ethics and Governance</w:t>
      </w:r>
    </w:p>
    <w:p>
      <w:pPr>
        <w:pStyle w:val="FirstParagraph"/>
      </w:pPr>
      <w:r>
        <w:t xml:space="preserve">Ordre des Experts-Comptables. (2023).</w:t>
      </w:r>
      <w:r>
        <w:t xml:space="preserve"> </w:t>
      </w:r>
      <w:r>
        <w:rPr>
          <w:iCs/>
          <w:i/>
        </w:rPr>
        <w:t xml:space="preserve">Code de Déontologie de la Profession d'Expert-Comptable</w:t>
      </w:r>
      <w:r>
        <w:t xml:space="preserve">. Paris: OEC Headquarters.</w:t>
      </w:r>
    </w:p>
    <w:p>
      <w:pPr>
        <w:pStyle w:val="BodyText"/>
      </w:pPr>
      <w:r>
        <w:t xml:space="preserve">The</w:t>
      </w:r>
      <w:r>
        <w:t xml:space="preserve"> </w:t>
      </w:r>
      <w:r>
        <w:rPr>
          <w:iCs/>
          <w:i/>
        </w:rPr>
        <w:t xml:space="preserve">Ordre des Experts-Comptables</w:t>
      </w:r>
      <w:r>
        <w:t xml:space="preserve"> </w:t>
      </w:r>
      <w:r>
        <w:t xml:space="preserve">(OEC) is the regulatory body that oversees the accounting profession in France. This code of ethics is mandatory for all certified public accountants (</w:t>
      </w:r>
      <w:r>
        <w:rPr>
          <w:iCs/>
          <w:i/>
        </w:rPr>
        <w:t xml:space="preserve">Experts-Comptables</w:t>
      </w:r>
      <w:r>
        <w:t xml:space="preserve">) practicing in Paris. It outlines strict rules regarding independence, confidentiality, and professional competence. In the high-stakes environment of Paris, where accountants often serve as auditors for major listed companies, adherence to this code is scrutinized heavily. The document addresses conflicts of interest and the responsibilities of the accountant towards the public interest, not just the client. For anyone seeking to practice as a qualified accountant in the French capital, this text is the definitive guide to professional conduct, bridging the gap between legal requirements and ethical best practices.</w:t>
      </w:r>
    </w:p>
    <w:p>
      <w:pPr>
        <w:pStyle w:val="BodyText"/>
      </w:pPr>
      <w:r>
        <w:t xml:space="preserve">Institut Français de la Comptabilité (IFAC). (2021).</w:t>
      </w:r>
      <w:r>
        <w:t xml:space="preserve"> </w:t>
      </w:r>
      <w:r>
        <w:rPr>
          <w:iCs/>
          <w:i/>
        </w:rPr>
        <w:t xml:space="preserve">La Formation Continue de l'Expert-Comptable en France</w:t>
      </w:r>
      <w:r>
        <w:t xml:space="preserve">. Paris: IFAC.</w:t>
      </w:r>
    </w:p>
    <w:p>
      <w:pPr>
        <w:pStyle w:val="BodyText"/>
      </w:pPr>
      <w:r>
        <w:t xml:space="preserve">This report highlights the rigorous continuing education requirements for accountants in France. In Paris, where financial regulations and tax laws evolve rapidly, the IFAC mandates that accountants complete a specific number of training hours annually to maintain their license. The document details the curriculum focus areas, including updates on the</w:t>
      </w:r>
      <w:r>
        <w:t xml:space="preserve"> </w:t>
      </w:r>
      <w:r>
        <w:rPr>
          <w:iCs/>
          <w:i/>
        </w:rPr>
        <w:t xml:space="preserve">Code Général des Impôts</w:t>
      </w:r>
      <w:r>
        <w:t xml:space="preserve"> </w:t>
      </w:r>
      <w:r>
        <w:t xml:space="preserve">and international auditing standards. It underscores the dynamic nature of the profession in the capital, where accountants must stay abreast of digital transformation and new fiscal policies. This source is vital for understanding the career trajectory and professional development expectations for accountants aiming to sustain their practice in the competitive Parisian market.</w:t>
      </w:r>
    </w:p>
    <w:bookmarkEnd w:id="21"/>
    <w:bookmarkStart w:id="22" w:name="taxation-and-fiscal-obligations"/>
    <w:p>
      <w:pPr>
        <w:pStyle w:val="Heading2"/>
      </w:pPr>
      <w:r>
        <w:t xml:space="preserve">Taxation and Fiscal Obligations</w:t>
      </w:r>
    </w:p>
    <w:p>
      <w:pPr>
        <w:pStyle w:val="FirstParagraph"/>
      </w:pPr>
      <w:r>
        <w:t xml:space="preserve">Direction Générale des Finances Publiques (DGFiP). (2023).</w:t>
      </w:r>
      <w:r>
        <w:t xml:space="preserve"> </w:t>
      </w:r>
      <w:r>
        <w:rPr>
          <w:iCs/>
          <w:i/>
        </w:rPr>
        <w:t xml:space="preserve">Guide Fiscal pour les Entreprises: Obligations Déclaratives et Paiement des Impôts</w:t>
      </w:r>
      <w:r>
        <w:t xml:space="preserve">. Paris: DGFiP.</w:t>
      </w:r>
    </w:p>
    <w:p>
      <w:pPr>
        <w:pStyle w:val="BodyText"/>
      </w:pPr>
      <w:r>
        <w:t xml:space="preserve">The DGFiP is the French tax authority, and its headquarters are located in Paris. This guide is a practical resource for accountants managing the fiscal obligations of businesses in the Île-de-France region. It covers the declaration of Value Added Tax (TVA), Corporate Tax (IS), and local business taxes specific to Paris, such as the</w:t>
      </w:r>
      <w:r>
        <w:t xml:space="preserve"> </w:t>
      </w:r>
      <w:r>
        <w:rPr>
          <w:iCs/>
          <w:i/>
        </w:rPr>
        <w:t xml:space="preserve">Taxe sur les Salaires</w:t>
      </w:r>
      <w:r>
        <w:t xml:space="preserve">. The document provides detailed instructions on filing deadlines and digital reporting requirements via the</w:t>
      </w:r>
      <w:r>
        <w:t xml:space="preserve"> </w:t>
      </w:r>
      <w:r>
        <w:rPr>
          <w:iCs/>
          <w:i/>
        </w:rPr>
        <w:t xml:space="preserve">Impots.gouv.fr</w:t>
      </w:r>
      <w:r>
        <w:t xml:space="preserve"> </w:t>
      </w:r>
      <w:r>
        <w:t xml:space="preserve">portal. For an accountant in Paris, this guide is an operational necessity, ensuring that clients remain compliant with the aggressive and precise tax collection mechanisms of the French state. It clarifies the accountant's role as an intermediary between the business and the state treasury.</w:t>
      </w:r>
    </w:p>
    <w:bookmarkEnd w:id="22"/>
    <w:bookmarkStart w:id="23" w:name="X8102a120f8950cab7565ea4a569bce971639bbc"/>
    <w:p>
      <w:pPr>
        <w:pStyle w:val="Heading2"/>
      </w:pPr>
      <w:r>
        <w:t xml:space="preserve">International Context and Paris as a Financial Hub</w:t>
      </w:r>
    </w:p>
    <w:p>
      <w:pPr>
        <w:pStyle w:val="FirstParagraph"/>
      </w:pPr>
      <w:r>
        <w:t xml:space="preserve">Euronext Paris. (2022).</w:t>
      </w:r>
      <w:r>
        <w:t xml:space="preserve"> </w:t>
      </w:r>
      <w:r>
        <w:rPr>
          <w:iCs/>
          <w:i/>
        </w:rPr>
        <w:t xml:space="preserve">Listing Rules and Financial Reporting Requirements for Issuers</w:t>
      </w:r>
      <w:r>
        <w:t xml:space="preserve">. Paris: Euronext.</w:t>
      </w:r>
    </w:p>
    <w:p>
      <w:pPr>
        <w:pStyle w:val="BodyText"/>
      </w:pPr>
      <w:r>
        <w:t xml:space="preserve">As the home of Euronext Paris, the city is a hub for listed companies. This document outlines the stringent financial reporting standards required for companies traded on the Paris stock exchange. Accountants working with these entities must ensure compliance with International Financial Reporting Standards (IFRS) as adopted by the European Union. The text details the requirements for interim and annual financial reports, corporate governance disclosures, and audit opinions. It is crucial for accountants in Paris who specialize in public company accounting, as it defines the transparency and accuracy standards expected by international investors. This source highlights the global dimension of the accountant's role in Paris, where local French regulations intersect with international capital market expectations.</w:t>
      </w:r>
    </w:p>
    <w:p>
      <w:pPr>
        <w:pStyle w:val="BodyText"/>
      </w:pPr>
      <w:r>
        <w:t xml:space="preserve">Fourcade, M., &amp; Healy, P. (2017). "The Construction of a Global Profession: The Transnationalization of Accounting."</w:t>
      </w:r>
      <w:r>
        <w:t xml:space="preserve"> </w:t>
      </w:r>
      <w:r>
        <w:rPr>
          <w:iCs/>
          <w:i/>
        </w:rPr>
        <w:t xml:space="preserve">Accounting, Organizations and Society</w:t>
      </w:r>
      <w:r>
        <w:t xml:space="preserve">, 58, 1-15.</w:t>
      </w:r>
    </w:p>
    <w:p>
      <w:pPr>
        <w:pStyle w:val="BodyText"/>
      </w:pPr>
      <w:r>
        <w:t xml:space="preserve">This academic article provides a sociological perspective on how the accounting profession in France, particularly in Paris, has adapted to global pressures. It discusses the tension between the traditional, state-regulated French model of accounting and the Anglo-Saxon model of market-driven auditing. For an accountant in Paris, understanding this context is valuable for navigating the cultural nuances of the profession. The article explains why French accountants often hold a more authoritative, advisory role compared to their counterparts in other countries. It offers insight into the professional identity of the Parisian accountant, who must balance national pride in the French legal system with the demands of globalized business operations.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France Paris</dc:title>
  <dc:creator/>
  <dc:language>en</dc:language>
  <cp:keywords/>
  <dcterms:created xsi:type="dcterms:W3CDTF">2026-08-07T06:33:37Z</dcterms:created>
  <dcterms:modified xsi:type="dcterms:W3CDTF">2026-08-07T06:33:37Z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