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Berlin</w:t>
      </w:r>
    </w:p>
    <w:bookmarkStart w:id="23" w:name="X434a49003420571f2af8c154b39d0790167bc88"/>
    <w:p>
      <w:pPr>
        <w:pStyle w:val="Heading1"/>
      </w:pPr>
      <w:r>
        <w:t xml:space="preserve">Annotated Bibliography: The Role of the Accountant in Germany Berlin</w:t>
      </w:r>
    </w:p>
    <w:p>
      <w:pPr>
        <w:pStyle w:val="FirstParagraph"/>
      </w:pPr>
      <w:r>
        <w:t xml:space="preserve">This annotated bibliography compiles essential resources regarding the professional landscape, regulatory environment, and cultural expectations for accountants operating within Berlin, Germany. The selected sources cover tax law, professional certification, digital transformation, and the specific economic context of the German capital.</w:t>
      </w:r>
    </w:p>
    <w:bookmarkStart w:id="20" w:name="introduction"/>
    <w:p>
      <w:pPr>
        <w:pStyle w:val="Heading2"/>
      </w:pPr>
      <w:r>
        <w:t xml:space="preserve">Introduction</w:t>
      </w:r>
    </w:p>
    <w:p>
      <w:pPr>
        <w:pStyle w:val="FirstParagraph"/>
      </w:pPr>
      <w:r>
        <w:t xml:space="preserve">Berlin has emerged as a dynamic hub for startups and established enterprises alike, creating a unique demand for accounting professionals who understand both traditional German fiscal rigor and modern international business practices. The following annotations provide a comprehensive overview of the necessary knowledge base for an accountant seeking to practice effectively in this specific geographic and legal jurisdiction.</w:t>
      </w:r>
    </w:p>
    <w:bookmarkEnd w:id="20"/>
    <w:bookmarkStart w:id="21" w:name="references"/>
    <w:p>
      <w:pPr>
        <w:pStyle w:val="Heading2"/>
      </w:pPr>
      <w:r>
        <w:t xml:space="preserve">References</w:t>
      </w:r>
    </w:p>
    <w:p>
      <w:pPr>
        <w:pStyle w:val="FirstParagraph"/>
      </w:pPr>
      <w:r>
        <w:t xml:space="preserve">Bundesministerium der Finanzen. (2023).</w:t>
      </w:r>
      <w:r>
        <w:t xml:space="preserve"> </w:t>
      </w:r>
      <w:r>
        <w:rPr>
          <w:iCs/>
          <w:i/>
        </w:rPr>
        <w:t xml:space="preserve">Handbuch zur Umsatzsteuer (VAT Handbook)</w:t>
      </w:r>
      <w:r>
        <w:t xml:space="preserve">. Berlin: Federal Ministry of Finance.</w:t>
      </w:r>
    </w:p>
    <w:p>
      <w:pPr>
        <w:pStyle w:val="BodyText"/>
      </w:pPr>
      <w:r>
        <w:t xml:space="preserve">This official government publication provides the definitive guide to Value Added Tax (VAT) regulations in Germany. It details the standard rates, reduced rates, and exemptions applicable to goods and services. For an accountant in Berlin, this document is critical for ensuring compliance with the</w:t>
      </w:r>
      <w:r>
        <w:t xml:space="preserve"> </w:t>
      </w:r>
      <w:r>
        <w:rPr>
          <w:iCs/>
          <w:i/>
        </w:rPr>
        <w:t xml:space="preserve">Umsatzsteuergesetz</w:t>
      </w:r>
      <w:r>
        <w:t xml:space="preserve"> </w:t>
      </w:r>
      <w:r>
        <w:t xml:space="preserve">(UStG), particularly when dealing with cross-border transactions within the EU, which is common in Berlin's international business environment.</w:t>
      </w:r>
    </w:p>
    <w:p>
      <w:pPr>
        <w:pStyle w:val="BodyText"/>
      </w:pPr>
      <w:r>
        <w:t xml:space="preserve">This source is authoritative and mandatory for any practicing accountant. It is highly relevant to Berlin due to the city's high volume of international trade and digital services, where VAT rules can be complex.</w:t>
      </w:r>
    </w:p>
    <w:p>
      <w:pPr>
        <w:pStyle w:val="BodyText"/>
      </w:pPr>
      <w:r>
        <w:t xml:space="preserve">Institut der Wirtschaftsprüfer (IDW). (2022).</w:t>
      </w:r>
      <w:r>
        <w:t xml:space="preserve"> </w:t>
      </w:r>
      <w:r>
        <w:rPr>
          <w:iCs/>
          <w:i/>
        </w:rPr>
        <w:t xml:space="preserve">IDW PS 980: Prüfung des Jahresabschlusses nach dem HGB</w:t>
      </w:r>
      <w:r>
        <w:t xml:space="preserve">. Frankfurt am Main: IDW.</w:t>
      </w:r>
    </w:p>
    <w:p>
      <w:pPr>
        <w:pStyle w:val="BodyText"/>
      </w:pPr>
      <w:r>
        <w:t xml:space="preserve">This standard outlines the auditing procedures for annual financial statements according to the German Commercial Code (</w:t>
      </w:r>
      <w:r>
        <w:rPr>
          <w:iCs/>
          <w:i/>
        </w:rPr>
        <w:t xml:space="preserve">Handelsgesetzbuch</w:t>
      </w:r>
      <w:r>
        <w:t xml:space="preserve"> </w:t>
      </w:r>
      <w:r>
        <w:t xml:space="preserve">or HGB). It establishes the framework for how accountants and auditors must verify financial data to ensure accuracy and legal compliance. The document emphasizes the principle of "prudence" (</w:t>
      </w:r>
      <w:r>
        <w:rPr>
          <w:iCs/>
          <w:i/>
        </w:rPr>
        <w:t xml:space="preserve">Vorsichtsprinzip</w:t>
      </w:r>
      <w:r>
        <w:t xml:space="preserve">), which is a cornerstone of German accounting.</w:t>
      </w:r>
    </w:p>
    <w:p>
      <w:pPr>
        <w:pStyle w:val="BodyText"/>
      </w:pPr>
      <w:r>
        <w:t xml:space="preserve">Essential for accountants aiming to become certified public auditors (</w:t>
      </w:r>
      <w:r>
        <w:rPr>
          <w:iCs/>
          <w:i/>
        </w:rPr>
        <w:t xml:space="preserve">Wirtschaftsprüfer</w:t>
      </w:r>
      <w:r>
        <w:t xml:space="preserve">). It is particularly important in Berlin, where many mid-sized companies (</w:t>
      </w:r>
      <w:r>
        <w:rPr>
          <w:iCs/>
          <w:i/>
        </w:rPr>
        <w:t xml:space="preserve">Mittelstand</w:t>
      </w:r>
      <w:r>
        <w:t xml:space="preserve">) require strict HGB compliance for banking and investor relations.</w:t>
      </w:r>
    </w:p>
    <w:p>
      <w:pPr>
        <w:pStyle w:val="BodyText"/>
      </w:pPr>
      <w:r>
        <w:t xml:space="preserve">KPMG Germany. (2023).</w:t>
      </w:r>
      <w:r>
        <w:t xml:space="preserve"> </w:t>
      </w:r>
      <w:r>
        <w:rPr>
          <w:iCs/>
          <w:i/>
        </w:rPr>
        <w:t xml:space="preserve">Tax Guide for Startups in Berlin</w:t>
      </w:r>
      <w:r>
        <w:t xml:space="preserve">. Berlin: KPMG AG Wirtschaftsprüfungsgesellschaft.</w:t>
      </w:r>
    </w:p>
    <w:p>
      <w:pPr>
        <w:pStyle w:val="BodyText"/>
      </w:pPr>
      <w:r>
        <w:t xml:space="preserve">This guide addresses the specific tax challenges faced by startups in Berlin, including corporate income tax, trade tax (</w:t>
      </w:r>
      <w:r>
        <w:rPr>
          <w:iCs/>
          <w:i/>
        </w:rPr>
        <w:t xml:space="preserve">Gewerbesteuer</w:t>
      </w:r>
      <w:r>
        <w:t xml:space="preserve">), and withholding tax on dividends. It also covers the implications of different legal structures, such as the GmbH (limited liability company) versus the UG (entrepreneurial company), which are popular among Berlin's tech entrepreneurs.</w:t>
      </w:r>
    </w:p>
    <w:p>
      <w:pPr>
        <w:pStyle w:val="BodyText"/>
      </w:pPr>
      <w:r>
        <w:t xml:space="preserve">Highly practical and tailored to the Berlin market. It bridges the gap between complex German tax law and the agile needs of the startup ecosystem, making it invaluable for accountants advising new businesses in the city.</w:t>
      </w:r>
    </w:p>
    <w:p>
      <w:pPr>
        <w:pStyle w:val="BodyText"/>
      </w:pPr>
      <w:r>
        <w:t xml:space="preserve">Deloitte. (2022).</w:t>
      </w:r>
      <w:r>
        <w:t xml:space="preserve"> </w:t>
      </w:r>
      <w:r>
        <w:rPr>
          <w:iCs/>
          <w:i/>
        </w:rPr>
        <w:t xml:space="preserve">Digitalisierung der Buchhaltung in Deutschland</w:t>
      </w:r>
      <w:r>
        <w:t xml:space="preserve">. Munich: Deloitte GmbH.</w:t>
      </w:r>
    </w:p>
    <w:p>
      <w:pPr>
        <w:pStyle w:val="BodyText"/>
      </w:pPr>
      <w:r>
        <w:t xml:space="preserve">This report analyzes the impact of digitalization on accounting practices in Germany, focusing on the implementation of the GoBD (</w:t>
      </w:r>
      <w:r>
        <w:rPr>
          <w:iCs/>
          <w:i/>
        </w:rPr>
        <w:t xml:space="preserve">Grundsätze zur ordnungsmäßigen Führung und Aufbewahrung von Büchern, Aufzeichnungen und Unterlagen in elektronischer Form</w:t>
      </w:r>
      <w:r>
        <w:t xml:space="preserve">). It discusses how accountants must adapt to electronic invoicing and cloud-based accounting systems while maintaining legal compliance.</w:t>
      </w:r>
    </w:p>
    <w:p>
      <w:pPr>
        <w:pStyle w:val="BodyText"/>
      </w:pPr>
      <w:r>
        <w:t xml:space="preserve">Crucial for understanding the technological shift in German accounting. Berlin, as a tech hub, is at the forefront of this change, and accountants must be proficient in digital tools to remain competitive and compliant.</w:t>
      </w:r>
    </w:p>
    <w:p>
      <w:pPr>
        <w:pStyle w:val="BodyText"/>
      </w:pPr>
      <w:r>
        <w:t xml:space="preserve">Bundessteuerberaterkammer. (2023).</w:t>
      </w:r>
      <w:r>
        <w:t xml:space="preserve"> </w:t>
      </w:r>
      <w:r>
        <w:rPr>
          <w:iCs/>
          <w:i/>
        </w:rPr>
        <w:t xml:space="preserve">Steuerberatungsgesetz (StBerG): Commentary and Practice</w:t>
      </w:r>
      <w:r>
        <w:t xml:space="preserve">. Berlin: Federal Chamber of Tax Advisors.</w:t>
      </w:r>
    </w:p>
    <w:p>
      <w:pPr>
        <w:pStyle w:val="BodyText"/>
      </w:pPr>
      <w:r>
        <w:t xml:space="preserve">This commentary provides an in-depth analysis of the Tax Advisory Act, which regulates the profession of tax advisors (</w:t>
      </w:r>
      <w:r>
        <w:rPr>
          <w:iCs/>
          <w:i/>
        </w:rPr>
        <w:t xml:space="preserve">Steuerberater</w:t>
      </w:r>
      <w:r>
        <w:t xml:space="preserve">) in Germany. It outlines the qualifications, ethical standards, and scope of practice required for those providing tax advice. The document also covers the disciplinary procedures and professional responsibilities of tax advisors.</w:t>
      </w:r>
    </w:p>
    <w:p>
      <w:pPr>
        <w:pStyle w:val="BodyText"/>
      </w:pPr>
      <w:r>
        <w:t xml:space="preserve">Fundamental for anyone pursuing a career as a tax advisor in Berlin. It ensures that accountants understand the legal boundaries and professional obligations of their role, which is strictly regulated in Germany.</w:t>
      </w:r>
    </w:p>
    <w:p>
      <w:pPr>
        <w:pStyle w:val="BodyText"/>
      </w:pPr>
      <w:r>
        <w:t xml:space="preserve">PwC. (2023).</w:t>
      </w:r>
      <w:r>
        <w:t xml:space="preserve"> </w:t>
      </w:r>
      <w:r>
        <w:rPr>
          <w:iCs/>
          <w:i/>
        </w:rPr>
        <w:t xml:space="preserve">International Taxation and Transfer Pricing in Germany</w:t>
      </w:r>
      <w:r>
        <w:t xml:space="preserve">. Berlin: PricewaterhouseCoopers GmbH.</w:t>
      </w:r>
    </w:p>
    <w:p>
      <w:pPr>
        <w:pStyle w:val="BodyText"/>
      </w:pPr>
      <w:r>
        <w:t xml:space="preserve">This publication examines the complexities of international taxation and transfer pricing rules in Germany. It addresses how multinational corporations operating in Berlin must structure their intercompany transactions to comply with German tax laws and OECD guidelines. The document also discusses the impact of recent EU directives on tax transparency.</w:t>
      </w:r>
    </w:p>
    <w:p>
      <w:pPr>
        <w:pStyle w:val="BodyText"/>
      </w:pPr>
      <w:r>
        <w:t xml:space="preserve">Highly relevant for accountants working with multinational clients in Berlin. The city's status as a global business center means that expertise in international tax law is increasingly in demand.</w:t>
      </w:r>
    </w:p>
    <w:p>
      <w:pPr>
        <w:pStyle w:val="BodyText"/>
      </w:pPr>
      <w:r>
        <w:t xml:space="preserve">Berlin Senate Department for Economics, Energy and Public Enterprises. (2022).</w:t>
      </w:r>
      <w:r>
        <w:t xml:space="preserve"> </w:t>
      </w:r>
      <w:r>
        <w:rPr>
          <w:iCs/>
          <w:i/>
        </w:rPr>
        <w:t xml:space="preserve">Economic Report Berlin 2022</w:t>
      </w:r>
      <w:r>
        <w:t xml:space="preserve">. Berlin: Senatsverwaltung.</w:t>
      </w:r>
    </w:p>
    <w:p>
      <w:pPr>
        <w:pStyle w:val="BodyText"/>
      </w:pPr>
      <w:r>
        <w:t xml:space="preserve">This annual report provides a comprehensive overview of Berlin's economic landscape, including key industries, employment trends, and fiscal policies. It highlights the growth of the tech sector, creative industries, and green economy, all of which have specific accounting and tax implications.</w:t>
      </w:r>
    </w:p>
    <w:p>
      <w:pPr>
        <w:pStyle w:val="BodyText"/>
      </w:pPr>
      <w:r>
        <w:t xml:space="preserve">Useful for accountants to understand the broader economic context in which they operate. It helps in anticipating trends and advising clients on strategic financial planning within the Berlin market.</w:t>
      </w:r>
    </w:p>
    <w:p>
      <w:pPr>
        <w:pStyle w:val="BodyText"/>
      </w:pPr>
      <w:r>
        <w:t xml:space="preserve">European Commission. (2023).</w:t>
      </w:r>
      <w:r>
        <w:t xml:space="preserve"> </w:t>
      </w:r>
      <w:r>
        <w:rPr>
          <w:iCs/>
          <w:i/>
        </w:rPr>
        <w:t xml:space="preserve">EU VAT Rules for E-Commerce</w:t>
      </w:r>
      <w:r>
        <w:t xml:space="preserve">. Brussels: European Commission.</w:t>
      </w:r>
    </w:p>
    <w:p>
      <w:pPr>
        <w:pStyle w:val="BodyText"/>
      </w:pPr>
      <w:r>
        <w:t xml:space="preserve">This document outlines the EU-wide VAT rules for e-commerce, which came into effect in July 2021. It simplifies VAT obligations for businesses selling goods and services across EU borders, including the introduction of the One Stop Shop (OSS) scheme. For accountants in Berlin, this is critical for advising e-commerce businesses that sell to customers across Europe.</w:t>
      </w:r>
    </w:p>
    <w:p>
      <w:pPr>
        <w:pStyle w:val="BodyText"/>
      </w:pPr>
      <w:r>
        <w:t xml:space="preserve">Essential for accountants dealing with cross-border e-commerce. Berlin's vibrant startup scene includes many e-commerce companies, making this knowledge indispensable for ensuring compliance and optimizing tax strategies.</w:t>
      </w:r>
    </w:p>
    <w:bookmarkEnd w:id="21"/>
    <w:bookmarkStart w:id="22" w:name="conclusion"/>
    <w:p>
      <w:pPr>
        <w:pStyle w:val="Heading2"/>
      </w:pPr>
      <w:r>
        <w:t xml:space="preserve">Conclusion</w:t>
      </w:r>
    </w:p>
    <w:p>
      <w:pPr>
        <w:pStyle w:val="FirstParagraph"/>
      </w:pPr>
      <w:r>
        <w:t xml:space="preserve">The annotated bibliography above highlights the multifaceted nature of accounting in Berlin, Germany. From strict adherence to local tax laws and auditing standards to adapting to digital transformation and international regulations, accountants in Berlin must possess a diverse and up-to-date skill set. These resources provide a solid foundation for understanding the professional, legal, and economic environment in which accountants operate in this dynamic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Germany Berlin</dc:title>
  <dc:creator/>
  <dc:language>en</dc:language>
  <cp:keywords/>
  <dcterms:created xsi:type="dcterms:W3CDTF">2026-08-07T03:44:19Z</dcterms:created>
  <dcterms:modified xsi:type="dcterms:W3CDTF">2026-08-07T03:44:19Z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