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Germany</w:t>
      </w:r>
      <w:r>
        <w:t xml:space="preserve"> </w:t>
      </w:r>
      <w:r>
        <w:t xml:space="preserve">Munich</w:t>
      </w:r>
    </w:p>
    <w:bookmarkStart w:id="21" w:name="annotated-bibliography"/>
    <w:p>
      <w:pPr>
        <w:pStyle w:val="Heading1"/>
      </w:pPr>
      <w:r>
        <w:t xml:space="preserve">Annotated Bibliography</w:t>
      </w:r>
    </w:p>
    <w:bookmarkStart w:id="20" w:name="X10b6590901a66e0244483b02e39511c49788f36"/>
    <w:p>
      <w:pPr>
        <w:pStyle w:val="Heading2"/>
      </w:pPr>
      <w:r>
        <w:t xml:space="preserve">Professional Standards, Regulatory Frameworks, and Market Dynamics for the Accountant in Germany Munich</w:t>
      </w:r>
    </w:p>
    <w:bookmarkEnd w:id="20"/>
    <w:bookmarkEnd w:id="21"/>
    <w:p>
      <w:pPr>
        <w:pStyle w:val="FirstParagraph"/>
      </w:pPr>
      <w:r>
        <w:t xml:space="preserve">The role of the accountant in Germany Munich is defined by a unique intersection of rigorous statutory requirements, deep-rooted commercial traditions, and the dynamic economic landscape of Bavaria's capital. Munich serves as a critical hub for automotive, technology, and financial services, necessitating a high level of expertise from accounting professionals. This annotated bibliography compiles essential resources regarding the legal obligations, professional certifications, and practical challenges faced by accountants operating within this specific jurisdiction. The selected texts provide a comprehensive overview of the German Commercial Code (HGB), the role of the Certified Public Accountant (Wirtschaftsprüfer), and the specific fiscal environment of Munich.</w:t>
      </w:r>
    </w:p>
    <w:bookmarkStart w:id="22" w:name="Xcbc44a3b717ac6a484cf1081f9c38dfd8e3f0ef"/>
    <w:p>
      <w:pPr>
        <w:pStyle w:val="Heading3"/>
      </w:pPr>
      <w:r>
        <w:t xml:space="preserve">1. The German Commercial Code (Handelsgesetzbuch - HGB)</w:t>
      </w:r>
    </w:p>
    <w:p>
      <w:pPr>
        <w:pStyle w:val="FirstParagraph"/>
      </w:pPr>
      <w:r>
        <w:t xml:space="preserve"> </w:t>
      </w:r>
      <w:r>
        <w:t xml:space="preserve">Bundesministerium der Justiz und für Verbraucherschutz. (2023).</w:t>
      </w:r>
      <w:r>
        <w:t xml:space="preserve"> </w:t>
      </w:r>
      <w:r>
        <w:rPr>
          <w:iCs/>
          <w:i/>
        </w:rPr>
        <w:t xml:space="preserve">Handelsgesetzbuch (HGB) – Commercial Code</w:t>
      </w:r>
      <w:r>
        <w:t xml:space="preserve">. Berlin: Federal Ministry of Justice and Consumer Protection.</w:t>
      </w:r>
      <w:r>
        <w:t xml:space="preserve"> </w:t>
      </w:r>
    </w:p>
    <w:p>
      <w:pPr>
        <w:pStyle w:val="BodyText"/>
      </w:pPr>
      <w:r>
        <w:t xml:space="preserve">This primary legal text is the cornerstone of accounting practice for any accountant in Germany Munich. The HGB dictates the principles of financial reporting, including the prudence principle (Vorsichtsprinzip) and the going concern assumption. For professionals in Munich, understanding the HGB is non-negotiable, as it governs the preparation of balance sheets and profit and loss accounts for all registered businesses. This source is critical for ensuring compliance with local statutory requirements, distinguishing German accounting practices from International Financial Reporting Standards (IFRS) which are often used by multinational corporations headquartered in the city.</w:t>
      </w:r>
    </w:p>
    <w:bookmarkEnd w:id="22"/>
    <w:bookmarkStart w:id="23" w:name="the-german-tax-code-abgabenordnung---ao"/>
    <w:p>
      <w:pPr>
        <w:pStyle w:val="Heading3"/>
      </w:pPr>
      <w:r>
        <w:t xml:space="preserve">2. The German Tax Code (Abgabenordnung - AO)</w:t>
      </w:r>
    </w:p>
    <w:p>
      <w:pPr>
        <w:pStyle w:val="FirstParagraph"/>
      </w:pPr>
      <w:r>
        <w:t xml:space="preserve"> </w:t>
      </w:r>
      <w:r>
        <w:t xml:space="preserve">Bundesministerium der Finanzen. (2023).</w:t>
      </w:r>
      <w:r>
        <w:t xml:space="preserve"> </w:t>
      </w:r>
      <w:r>
        <w:rPr>
          <w:iCs/>
          <w:i/>
        </w:rPr>
        <w:t xml:space="preserve">Abgabenordnung (AO) – Fiscal Code</w:t>
      </w:r>
      <w:r>
        <w:t xml:space="preserve">. Bonn: Federal Ministry of Finance.</w:t>
      </w:r>
      <w:r>
        <w:t xml:space="preserve"> </w:t>
      </w:r>
    </w:p>
    <w:p>
      <w:pPr>
        <w:pStyle w:val="BodyText"/>
      </w:pPr>
      <w:r>
        <w:t xml:space="preserve">Taxation is a central component of the accountant's role in Germany Munich. The Abgabenordnung provides the general rules for tax law, covering assessment procedures, tax evasion, and the rights and duties of taxpayers. Given Munich's status as a home to numerous high-net-worth individuals and large corporations, accountants must navigate complex corporate tax (Körperschaftsteuer) and trade tax (Gewerbesteuer) regulations. This document is essential for understanding the procedural framework within which Munich-based accountants must operate to ensure their clients meet their fiscal obligations to the Bavarian tax authorities.</w:t>
      </w:r>
    </w:p>
    <w:bookmarkEnd w:id="23"/>
    <w:bookmarkStart w:id="24" w:name="X339d9ae9a9bd672d402556b07a916c3fcb02168"/>
    <w:p>
      <w:pPr>
        <w:pStyle w:val="Heading3"/>
      </w:pPr>
      <w:r>
        <w:t xml:space="preserve">3. The German Auditing Act (Wirtschaftsprüferordnung - WPO)</w:t>
      </w:r>
    </w:p>
    <w:p>
      <w:pPr>
        <w:pStyle w:val="FirstParagraph"/>
      </w:pPr>
      <w:r>
        <w:t xml:space="preserve"> </w:t>
      </w:r>
      <w:r>
        <w:t xml:space="preserve">Bundesministerium der Justiz und für Verbraucherschutz. (2023).</w:t>
      </w:r>
      <w:r>
        <w:t xml:space="preserve"> </w:t>
      </w:r>
      <w:r>
        <w:rPr>
          <w:iCs/>
          <w:i/>
        </w:rPr>
        <w:t xml:space="preserve">Wirtschaftsprüferordnung (WPO) – Ordinance on Certified Public Accountants</w:t>
      </w:r>
      <w:r>
        <w:t xml:space="preserve">. Berlin: Federal Ministry of Justice and Consumer Protection.</w:t>
      </w:r>
      <w:r>
        <w:t xml:space="preserve"> </w:t>
      </w:r>
    </w:p>
    <w:p>
      <w:pPr>
        <w:pStyle w:val="BodyText"/>
      </w:pPr>
      <w:r>
        <w:t xml:space="preserve">For an accountant aspiring to become a Wirtschaftsprüfer (Certified Public Accountant) in Germany Munich, this ordinance is the definitive guide to professional conduct and qualification. It outlines the requirements for admission to the profession, the structure of the regional chambers (Wirtschaftsprüferkammer), and the ethical standards required. In Munich, where the demand for independent audits is high due to the concentration of large enterprises, adherence to the WPO is vital. This source clarifies the distinction between a general accountant and a certified auditor, a distinction that carries significant legal weight in the German market.</w:t>
      </w:r>
    </w:p>
    <w:bookmarkEnd w:id="24"/>
    <w:bookmarkStart w:id="25" w:name="X76a471217197ab19bc50399154e056ce2e30042"/>
    <w:p>
      <w:pPr>
        <w:pStyle w:val="Heading3"/>
      </w:pPr>
      <w:r>
        <w:t xml:space="preserve">4. Munich Chamber of Commerce and Industry (IHK München und Oberbayern)</w:t>
      </w:r>
    </w:p>
    <w:p>
      <w:pPr>
        <w:pStyle w:val="FirstParagraph"/>
      </w:pPr>
      <w:r>
        <w:t xml:space="preserve"> </w:t>
      </w:r>
      <w:r>
        <w:t xml:space="preserve">IHK München und Oberbayern. (2023).</w:t>
      </w:r>
      <w:r>
        <w:t xml:space="preserve"> </w:t>
      </w:r>
      <w:r>
        <w:rPr>
          <w:iCs/>
          <w:i/>
        </w:rPr>
        <w:t xml:space="preserve">Business Registration and Accounting Guidelines for Munich Enterprises</w:t>
      </w:r>
      <w:r>
        <w:t xml:space="preserve">. Munich: IHK München und Oberbayern.</w:t>
      </w:r>
      <w:r>
        <w:t xml:space="preserve"> </w:t>
      </w:r>
    </w:p>
    <w:p>
      <w:pPr>
        <w:pStyle w:val="BodyText"/>
      </w:pPr>
      <w:r>
        <w:t xml:space="preserve">The IHK München und Oberbayern serves as the primary interface between the government and the business community in the region. This resource provides practical, localized advice for accountants and business owners regarding registration, bookkeeping obligations, and industry-specific regulations in Munich. It is particularly valuable for understanding the nuances of operating in Bavaria, including local trade tax rates and specific reporting requirements for small and medium-sized enterprises (SMEs), which form the backbone of the Munich economy.</w:t>
      </w:r>
    </w:p>
    <w:bookmarkEnd w:id="25"/>
    <w:bookmarkStart w:id="26" w:name="Xa818fbcfb275b5a9d60bcb05d4c03d26ef7adbd"/>
    <w:p>
      <w:pPr>
        <w:pStyle w:val="Heading3"/>
      </w:pPr>
      <w:r>
        <w:t xml:space="preserve">5. International Financial Reporting Standards (IFRS) in Germany</w:t>
      </w:r>
    </w:p>
    <w:p>
      <w:pPr>
        <w:pStyle w:val="FirstParagraph"/>
      </w:pPr>
      <w:r>
        <w:t xml:space="preserve"> </w:t>
      </w:r>
      <w:r>
        <w:t xml:space="preserve">European Commission. (2023).</w:t>
      </w:r>
      <w:r>
        <w:t xml:space="preserve"> </w:t>
      </w:r>
      <w:r>
        <w:rPr>
          <w:iCs/>
          <w:i/>
        </w:rPr>
        <w:t xml:space="preserve">IFRS Standards Adopted by the European Union</w:t>
      </w:r>
      <w:r>
        <w:t xml:space="preserve">. Brussels: European Commission.</w:t>
      </w:r>
      <w:r>
        <w:t xml:space="preserve"> </w:t>
      </w:r>
    </w:p>
    <w:p>
      <w:pPr>
        <w:pStyle w:val="BodyText"/>
      </w:pPr>
      <w:r>
        <w:t xml:space="preserve">While the HGB is dominant, many large corporations in Germany Munich, particularly in the automotive and technology sectors, are required to prepare consolidated financial statements in accordance with IFRS. This source provides the official standards adopted by the EU. Accountants in Munich must be proficient in both HGB and IFRS to serve the diverse client base in the city. This bibliography entry highlights the necessity for dual competency, ensuring that accountants can navigate the transition between local statutory reporting and international financial transparency requirements.</w:t>
      </w:r>
    </w:p>
    <w:bookmarkEnd w:id="26"/>
    <w:bookmarkStart w:id="27" w:name="Xacf3995ed343e0eeecebd73b3fef0337df008ed"/>
    <w:p>
      <w:pPr>
        <w:pStyle w:val="Heading3"/>
      </w:pPr>
      <w:r>
        <w:t xml:space="preserve">6. The German Income Tax Act (Einkommensteuergesetz - EStG)</w:t>
      </w:r>
    </w:p>
    <w:p>
      <w:pPr>
        <w:pStyle w:val="FirstParagraph"/>
      </w:pPr>
      <w:r>
        <w:t xml:space="preserve"> </w:t>
      </w:r>
      <w:r>
        <w:t xml:space="preserve">Bundesministerium der Finanzen. (2023).</w:t>
      </w:r>
      <w:r>
        <w:t xml:space="preserve"> </w:t>
      </w:r>
      <w:r>
        <w:rPr>
          <w:iCs/>
          <w:i/>
        </w:rPr>
        <w:t xml:space="preserve">Einkommensteuergesetz (EStG) – Income Tax Act</w:t>
      </w:r>
      <w:r>
        <w:t xml:space="preserve">. Bonn: Federal Ministry of Finance.</w:t>
      </w:r>
      <w:r>
        <w:t xml:space="preserve"> </w:t>
      </w:r>
    </w:p>
    <w:p>
      <w:pPr>
        <w:pStyle w:val="BodyText"/>
      </w:pPr>
      <w:r>
        <w:t xml:space="preserve">Individual income tax is a significant area of practice for accountants in Germany Munich, especially given the high cost of living and the presence of many expatriate professionals. The EStG details the taxation of personal income, including deductions, allowances, and the specific rules for foreign income. This source is crucial for accountants advising individuals on tax optimization, double taxation treaties, and the specific tax implications of working in Munich, such as the treatment of relocation expenses and housing benefits.</w:t>
      </w:r>
    </w:p>
    <w:bookmarkEnd w:id="27"/>
    <w:bookmarkStart w:id="28" w:name="X49200a9473c96003bd2a2470fcd14452b47201a"/>
    <w:p>
      <w:pPr>
        <w:pStyle w:val="Heading3"/>
      </w:pPr>
      <w:r>
        <w:t xml:space="preserve">7. Digitalization in German Accounting: GoBD Guidelines</w:t>
      </w:r>
    </w:p>
    <w:p>
      <w:pPr>
        <w:pStyle w:val="FirstParagraph"/>
      </w:pPr>
      <w:r>
        <w:t xml:space="preserve"> </w:t>
      </w:r>
      <w:r>
        <w:t xml:space="preserve">Bundeszentralamt für Steuern. (2019).</w:t>
      </w:r>
      <w:r>
        <w:t xml:space="preserve"> </w:t>
      </w:r>
      <w:r>
        <w:rPr>
          <w:iCs/>
          <w:i/>
        </w:rPr>
        <w:t xml:space="preserve">Grundsätze zum Ordnungsgemäßen Buchen (GoBD) – Principles for Proper Bookkeeping</w:t>
      </w:r>
      <w:r>
        <w:t xml:space="preserve">. Bonn: Federal Central Tax Office.</w:t>
      </w:r>
      <w:r>
        <w:t xml:space="preserve"> </w:t>
      </w:r>
    </w:p>
    <w:p>
      <w:pPr>
        <w:pStyle w:val="BodyText"/>
      </w:pPr>
      <w:r>
        <w:t xml:space="preserve">The GoBD guidelines are essential for any accountant in Germany Munich dealing with digital accounting systems. These principles ensure that electronic records are complete, correct, comprehensible, timely, and traceable. With Munich being a tech hub, the adoption of cloud-based accounting software is widespread. This source provides the regulatory framework for digital bookkeeping, ensuring that accountants can implement modern technologies while remaining compliant with German tax law. It is a critical reference for maintaining audit trails in a digital environment.</w:t>
      </w:r>
    </w:p>
    <w:bookmarkEnd w:id="28"/>
    <w:bookmarkStart w:id="29" w:name="X497ab552ebaec7d913480b7b3fda054bc89a725"/>
    <w:p>
      <w:pPr>
        <w:pStyle w:val="Heading3"/>
      </w:pPr>
      <w:r>
        <w:t xml:space="preserve">8. The Role of the Steuerberater (Tax Advisor) in Germany</w:t>
      </w:r>
    </w:p>
    <w:p>
      <w:pPr>
        <w:pStyle w:val="FirstParagraph"/>
      </w:pPr>
      <w:r>
        <w:t xml:space="preserve"> </w:t>
      </w:r>
      <w:r>
        <w:t xml:space="preserve">Bundessteuerberaterkammer. (2023).</w:t>
      </w:r>
      <w:r>
        <w:t xml:space="preserve"> </w:t>
      </w:r>
      <w:r>
        <w:rPr>
          <w:iCs/>
          <w:i/>
        </w:rPr>
        <w:t xml:space="preserve">Steuerberatungsgesetz (StBerG) – Tax Advisory Act</w:t>
      </w:r>
      <w:r>
        <w:t xml:space="preserve">. Berlin: Federal Chamber of Tax Advisors.</w:t>
      </w:r>
      <w:r>
        <w:t xml:space="preserve"> </w:t>
      </w:r>
    </w:p>
    <w:p>
      <w:pPr>
        <w:pStyle w:val="BodyText"/>
      </w:pPr>
      <w:r>
        <w:t xml:space="preserve">In Germany Munich, the distinction between an accountant and a Steuerberater is legally significant. The Steuerberatungsgesetz regulates the profession of tax advisors, who have exclusive rights to represent clients before tax authorities. This source is vital for understanding the scope of practice for accountants who may not hold the Steuerberater license. It clarifies the boundaries of tax advisory services and the importance of collaboration between accountants and certified tax advisors in the Munich market to provide comprehensive financial services.</w:t>
      </w:r>
    </w:p>
    <w:p>
      <w:pPr>
        <w:pStyle w:val="BodyText"/>
      </w:pPr>
      <w:r>
        <w:t xml:space="preserve">Document prepared for informational purposes regarding the accounting profession in Germany Munich. All references are based on current legal frameworks as of 2023.</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Germany Munich</dc:title>
  <dc:creator/>
  <dc:language>en</dc:language>
  <cp:keywords/>
  <dcterms:created xsi:type="dcterms:W3CDTF">2026-08-07T08:05:56Z</dcterms:created>
  <dcterms:modified xsi:type="dcterms:W3CDTF">2026-08-07T08:05:56Z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