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Accounting</w:t>
      </w:r>
      <w:r>
        <w:t xml:space="preserve"> </w:t>
      </w:r>
      <w:r>
        <w:t xml:space="preserve">Practices</w:t>
      </w:r>
      <w:r>
        <w:t xml:space="preserve"> </w:t>
      </w:r>
      <w:r>
        <w:t xml:space="preserve">in</w:t>
      </w:r>
      <w:r>
        <w:t xml:space="preserve"> </w:t>
      </w:r>
      <w:r>
        <w:t xml:space="preserve">Almaty,</w:t>
      </w:r>
      <w:r>
        <w:t xml:space="preserve"> </w:t>
      </w:r>
      <w:r>
        <w:t xml:space="preserve">Kazakhstan</w:t>
      </w:r>
    </w:p>
    <w:bookmarkStart w:id="23" w:name="X2adf10bd56555791d5f020807ac5317804cb8ce"/>
    <w:p>
      <w:pPr>
        <w:pStyle w:val="Heading1"/>
      </w:pPr>
      <w:r>
        <w:t xml:space="preserve">Annotated Bibliography: The Role of the Accountant in Almaty, Kazakhstan</w:t>
      </w:r>
    </w:p>
    <w:p>
      <w:pPr>
        <w:pStyle w:val="FirstParagraph"/>
      </w:pPr>
      <w:r>
        <w:t xml:space="preserve">This annotated bibliography compiles key resources regarding the professional landscape, regulatory environment, and economic challenges faced by accountants operating in Almaty, the financial hub of Kazakhstan. The selected sources cover tax legislation, international financial reporting standards (IFRS), digital transformation, and the specific socio-economic context of the region.</w:t>
      </w:r>
    </w:p>
    <w:bookmarkStart w:id="20" w:name="introduction"/>
    <w:p>
      <w:pPr>
        <w:pStyle w:val="Heading2"/>
      </w:pPr>
      <w:r>
        <w:t xml:space="preserve">Introduction</w:t>
      </w:r>
    </w:p>
    <w:p>
      <w:pPr>
        <w:pStyle w:val="FirstParagraph"/>
      </w:pPr>
      <w:r>
        <w:t xml:space="preserve">Almaty serves as the primary center for commerce and finance in Kazakhstan. For an accountant in this city, the role extends beyond basic bookkeeping to include navigating complex tax codes, managing cross-border transactions, and adapting to rapid digitalization. The following entries provide a comprehensive overview of the literature necessary for understanding this specific professional environment.</w:t>
      </w:r>
    </w:p>
    <w:bookmarkEnd w:id="20"/>
    <w:bookmarkStart w:id="21" w:name="references"/>
    <w:p>
      <w:pPr>
        <w:pStyle w:val="Heading2"/>
      </w:pPr>
      <w:r>
        <w:t xml:space="preserve">References</w:t>
      </w:r>
    </w:p>
    <w:p>
      <w:pPr>
        <w:pStyle w:val="FirstParagraph"/>
      </w:pPr>
      <w:r>
        <w:t xml:space="preserve">Ministry of Finance of the Republic of Kazakhstan. (2023).</w:t>
      </w:r>
      <w:r>
        <w:t xml:space="preserve"> </w:t>
      </w:r>
      <w:r>
        <w:rPr>
          <w:iCs/>
          <w:i/>
        </w:rPr>
        <w:t xml:space="preserve">The Code of the Republic of Kazakhstan on Taxes and Other Payments</w:t>
      </w:r>
      <w:r>
        <w:t xml:space="preserve">. Astana: Government Printing House.</w:t>
      </w:r>
    </w:p>
    <w:p>
      <w:pPr>
        <w:pStyle w:val="BodyText"/>
      </w:pPr>
      <w:r>
        <w:t xml:space="preserve">This primary legal document outlines the comprehensive tax framework governing businesses and individuals in Kazakhstan. It details corporate income tax, value-added tax (VAT), and social contributions. The code is frequently updated to align with national economic goals and international obligations.</w:t>
      </w:r>
    </w:p>
    <w:p>
      <w:pPr>
        <w:pStyle w:val="BodyText"/>
      </w:pPr>
      <w:r>
        <w:t xml:space="preserve">As the foundational legal text, this source is authoritative and mandatory for any accountant practicing in Almaty. It provides the exact statutory language required for compliance.</w:t>
      </w:r>
    </w:p>
    <w:p>
      <w:pPr>
        <w:pStyle w:val="BodyText"/>
      </w:pPr>
      <w:r>
        <w:t xml:space="preserve">Essential for understanding the daily regulatory burden on accountants in Almaty, particularly regarding VAT registration thresholds and corporate tax filings specific to Kazakhstani law.</w:t>
      </w:r>
    </w:p>
    <w:p>
      <w:pPr>
        <w:pStyle w:val="BodyText"/>
      </w:pPr>
      <w:r>
        <w:t xml:space="preserve">International Federation of Accountants (IFAC). (2022).</w:t>
      </w:r>
      <w:r>
        <w:t xml:space="preserve"> </w:t>
      </w:r>
      <w:r>
        <w:rPr>
          <w:iCs/>
          <w:i/>
        </w:rPr>
        <w:t xml:space="preserve">IFRS Adoption in Emerging Markets: The Case of Central Asia</w:t>
      </w:r>
      <w:r>
        <w:t xml:space="preserve">. New York: IFAC Publications.</w:t>
      </w:r>
    </w:p>
    <w:p>
      <w:pPr>
        <w:pStyle w:val="BodyText"/>
      </w:pPr>
      <w:r>
        <w:t xml:space="preserve">This report analyzes the transition of Central Asian economies, including Kazakhstan, to International Financial Reporting Standards (IFRS). It discusses the challenges of implementation, the training of local professionals, and the impact on foreign investment transparency.</w:t>
      </w:r>
    </w:p>
    <w:p>
      <w:pPr>
        <w:pStyle w:val="BodyText"/>
      </w:pPr>
      <w:r>
        <w:t xml:space="preserve">The report offers a high-level, objective analysis of the accounting standards landscape. It is particularly useful for understanding why Almaty-based firms are increasingly required to produce IFRS-compliant reports rather than relying solely on local GAAP.</w:t>
      </w:r>
    </w:p>
    <w:p>
      <w:pPr>
        <w:pStyle w:val="BodyText"/>
      </w:pPr>
      <w:r>
        <w:t xml:space="preserve">Critical for accountants in Almaty working with multinational corporations or preparing for IPOs, as it contextualizes the shift toward global standards within the local market.</w:t>
      </w:r>
    </w:p>
    <w:p>
      <w:pPr>
        <w:pStyle w:val="BodyText"/>
      </w:pPr>
      <w:r>
        <w:t xml:space="preserve">Nurpeisova, A., &amp; Smith, J. (2021). "Digital Transformation in Kazakhstani Accounting: Opportunities and Risks."</w:t>
      </w:r>
      <w:r>
        <w:t xml:space="preserve"> </w:t>
      </w:r>
      <w:r>
        <w:rPr>
          <w:iCs/>
          <w:i/>
        </w:rPr>
        <w:t xml:space="preserve">Journal of Central Asian Economic Studies</w:t>
      </w:r>
      <w:r>
        <w:t xml:space="preserve">, 15(3), 45-62.</w:t>
      </w:r>
    </w:p>
    <w:p>
      <w:pPr>
        <w:pStyle w:val="BodyText"/>
      </w:pPr>
      <w:r>
        <w:t xml:space="preserve">This academic article examines the impact of e-government initiatives, such as the "e-Salyq" system, on the accounting profession in Kazakhstan. It highlights how automation is reducing manual entry but increasing the need for IT literacy among accountants.</w:t>
      </w:r>
    </w:p>
    <w:p>
      <w:pPr>
        <w:pStyle w:val="BodyText"/>
      </w:pPr>
      <w:r>
        <w:t xml:space="preserve">The authors provide a balanced view, citing specific case studies from Almaty-based SMEs. The research is well-cited and reflects current technological trends in the region.</w:t>
      </w:r>
    </w:p>
    <w:p>
      <w:pPr>
        <w:pStyle w:val="BodyText"/>
      </w:pPr>
      <w:r>
        <w:t xml:space="preserve">Highly relevant for accountants in Almaty who must navigate the mandatory electronic reporting systems and integrate cloud-based accounting software into their workflows.</w:t>
      </w:r>
    </w:p>
    <w:p>
      <w:pPr>
        <w:pStyle w:val="BodyText"/>
      </w:pPr>
      <w:r>
        <w:t xml:space="preserve">Almaty Chamber of Commerce and Industry. (2023).</w:t>
      </w:r>
      <w:r>
        <w:t xml:space="preserve"> </w:t>
      </w:r>
      <w:r>
        <w:rPr>
          <w:iCs/>
          <w:i/>
        </w:rPr>
        <w:t xml:space="preserve">Annual Report on the Business Environment in Almaty</w:t>
      </w:r>
      <w:r>
        <w:t xml:space="preserve">. Almaty: ACI Publications.</w:t>
      </w:r>
    </w:p>
    <w:p>
      <w:pPr>
        <w:pStyle w:val="BodyText"/>
      </w:pPr>
      <w:r>
        <w:t xml:space="preserve">This annual report provides data on the economic health of Almaty, including sector-specific growth rates, inflation impacts, and regulatory changes affecting local businesses. It includes a section on financial compliance trends.</w:t>
      </w:r>
    </w:p>
    <w:p>
      <w:pPr>
        <w:pStyle w:val="BodyText"/>
      </w:pPr>
      <w:r>
        <w:t xml:space="preserve">A reliable source of local economic data. While not a technical accounting manual, it provides the macroeconomic context necessary for financial planning and forecasting.</w:t>
      </w:r>
    </w:p>
    <w:p>
      <w:pPr>
        <w:pStyle w:val="BodyText"/>
      </w:pPr>
      <w:r>
        <w:t xml:space="preserve">Useful for accountants in Almaty to understand the broader economic pressures on their clients, such as currency fluctuation risks and inflation adjustments in financial statements.</w:t>
      </w:r>
    </w:p>
    <w:p>
      <w:pPr>
        <w:pStyle w:val="BodyText"/>
      </w:pPr>
      <w:r>
        <w:t xml:space="preserve">World Bank Group. (2022).</w:t>
      </w:r>
      <w:r>
        <w:t xml:space="preserve"> </w:t>
      </w:r>
      <w:r>
        <w:rPr>
          <w:iCs/>
          <w:i/>
        </w:rPr>
        <w:t xml:space="preserve">Kazakhstan Economic Update: Strengthening Fiscal Resilience</w:t>
      </w:r>
      <w:r>
        <w:t xml:space="preserve">. Washington, DC: World Bank.</w:t>
      </w:r>
    </w:p>
    <w:p>
      <w:pPr>
        <w:pStyle w:val="BodyText"/>
      </w:pPr>
      <w:r>
        <w:t xml:space="preserve">This publication assesses Kazakhstan's fiscal policies and their impact on economic stability. It discusses the role of the National Fund, sovereign wealth management, and the importance of transparent financial reporting in maintaining investor confidence.</w:t>
      </w:r>
    </w:p>
    <w:p>
      <w:pPr>
        <w:pStyle w:val="BodyText"/>
      </w:pPr>
      <w:r>
        <w:t xml:space="preserve">The World Bank is a credible international institution. The report is data-driven and offers insights into how national fiscal policies trickle down to affect local accounting practices.</w:t>
      </w:r>
    </w:p>
    <w:p>
      <w:pPr>
        <w:pStyle w:val="BodyText"/>
      </w:pPr>
      <w:r>
        <w:t xml:space="preserve">Important for senior accountants and financial controllers in Almaty who advise clients on long-term financial strategy in the context of national economic policy.</w:t>
      </w:r>
    </w:p>
    <w:p>
      <w:pPr>
        <w:pStyle w:val="BodyText"/>
      </w:pPr>
      <w:r>
        <w:t xml:space="preserve">Kadyrova, L. (2020). "Ethical Challenges for Accountants in Post-Soviet Economies."</w:t>
      </w:r>
      <w:r>
        <w:t xml:space="preserve"> </w:t>
      </w:r>
      <w:r>
        <w:rPr>
          <w:iCs/>
          <w:i/>
        </w:rPr>
        <w:t xml:space="preserve">International Journal of Accounting Ethics</w:t>
      </w:r>
      <w:r>
        <w:t xml:space="preserve">, 8(2), 112-129.</w:t>
      </w:r>
    </w:p>
    <w:p>
      <w:pPr>
        <w:pStyle w:val="BodyText"/>
      </w:pPr>
      <w:r>
        <w:t xml:space="preserve">This paper explores the ethical dilemmas faced by accountants in Kazakhstan, including pressure to manipulate financial statements for tax avoidance or to secure loans. It emphasizes the growing importance of professional ethics codes.</w:t>
      </w:r>
    </w:p>
    <w:p>
      <w:pPr>
        <w:pStyle w:val="BodyText"/>
      </w:pPr>
      <w:r>
        <w:t xml:space="preserve">The article provides a nuanced look at the cultural and professional pressures in the region. It is valuable for understanding the non-technical aspects of the accountant's role.</w:t>
      </w:r>
    </w:p>
    <w:p>
      <w:pPr>
        <w:pStyle w:val="BodyText"/>
      </w:pPr>
      <w:r>
        <w:t xml:space="preserve">Relevant for accountants in Almaty navigating complex client relationships and ensuring adherence to both local laws and international ethical standards.</w:t>
      </w:r>
    </w:p>
    <w:p>
      <w:pPr>
        <w:pStyle w:val="BodyText"/>
      </w:pPr>
      <w:r>
        <w:t xml:space="preserve">National Bank of Kazakhstan. (2023).</w:t>
      </w:r>
      <w:r>
        <w:t xml:space="preserve"> </w:t>
      </w:r>
      <w:r>
        <w:rPr>
          <w:iCs/>
          <w:i/>
        </w:rPr>
        <w:t xml:space="preserve">Regulations on Foreign Currency Operations and Reporting</w:t>
      </w:r>
      <w:r>
        <w:t xml:space="preserve">. Almaty: NBK.</w:t>
      </w:r>
    </w:p>
    <w:p>
      <w:pPr>
        <w:pStyle w:val="BodyText"/>
      </w:pPr>
      <w:r>
        <w:t xml:space="preserve">This regulatory document outlines the rules for handling foreign currency transactions, repatriation of profits, and reporting requirements for entities engaged in international trade.</w:t>
      </w:r>
    </w:p>
    <w:p>
      <w:pPr>
        <w:pStyle w:val="BodyText"/>
      </w:pPr>
      <w:r>
        <w:t xml:space="preserve">As the central bank's official guidance, this is a definitive source for foreign exchange regulations. It is frequently updated to reflect changes in monetary policy.</w:t>
      </w:r>
    </w:p>
    <w:p>
      <w:pPr>
        <w:pStyle w:val="BodyText"/>
      </w:pPr>
      <w:r>
        <w:t xml:space="preserve">Crucial for accountants in Almaty, a hub for international trade, who must ensure compliance with foreign currency controls and accurately report cross-border transactions.</w:t>
      </w:r>
    </w:p>
    <w:p>
      <w:pPr>
        <w:pStyle w:val="BodyText"/>
      </w:pPr>
      <w:r>
        <w:t xml:space="preserve">Institute of Chartered Accountants of Kazakhstan (ICAK). (2023).</w:t>
      </w:r>
      <w:r>
        <w:t xml:space="preserve"> </w:t>
      </w:r>
      <w:r>
        <w:rPr>
          <w:iCs/>
          <w:i/>
        </w:rPr>
        <w:t xml:space="preserve">Professional Development Guidelines for Accountants</w:t>
      </w:r>
      <w:r>
        <w:t xml:space="preserve">. Almaty: ICAK.</w:t>
      </w:r>
    </w:p>
    <w:p>
      <w:pPr>
        <w:pStyle w:val="BodyText"/>
      </w:pPr>
      <w:r>
        <w:t xml:space="preserve">This document outlines the continuing professional development (CPD) requirements for accountants in Kazakhstan. It details the necessary training hours, topics, and certification processes to maintain professional status.</w:t>
      </w:r>
    </w:p>
    <w:p>
      <w:pPr>
        <w:pStyle w:val="BodyText"/>
      </w:pPr>
      <w:r>
        <w:t xml:space="preserve">A practical and authoritative guide for career development. It reflects the current standards expected by employers and regulatory bodies in the country.</w:t>
      </w:r>
    </w:p>
    <w:p>
      <w:pPr>
        <w:pStyle w:val="BodyText"/>
      </w:pPr>
      <w:r>
        <w:t xml:space="preserve">Directly relevant for any accountant working in Almaty who wishes to maintain their professional certification and stay updated with the latest changes in Kazakhstani accounting law.</w:t>
      </w:r>
    </w:p>
    <w:bookmarkEnd w:id="21"/>
    <w:bookmarkStart w:id="22" w:name="conclusion"/>
    <w:p>
      <w:pPr>
        <w:pStyle w:val="Heading2"/>
      </w:pPr>
      <w:r>
        <w:t xml:space="preserve">Conclusion</w:t>
      </w:r>
    </w:p>
    <w:p>
      <w:pPr>
        <w:pStyle w:val="FirstParagraph"/>
      </w:pPr>
      <w:r>
        <w:t xml:space="preserve">The selected bibliography highlights the multifaceted nature of accounting in Almaty, Kazakhstan. Professionals in this field must be well-versed in local tax codes, adept at using digital reporting tools, and knowledgeable about international standards. These resources provide a solid foundation for understanding the regulatory, economic, and ethical landscape that defines the accountant's role in this dynamic Central Asian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Accounting Practices in Almaty, Kazakhstan</dc:title>
  <dc:creator/>
  <dc:language>en</dc:language>
  <cp:keywords/>
  <dcterms:created xsi:type="dcterms:W3CDTF">2026-08-07T03:01:46Z</dcterms:created>
  <dcterms:modified xsi:type="dcterms:W3CDTF">2026-08-07T03:01:46Z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