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Accounting</w:t>
      </w:r>
      <w:r>
        <w:t xml:space="preserve"> </w:t>
      </w:r>
      <w:r>
        <w:t xml:space="preserve">Practices</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Professional Accounting Standards, Regulatory Frameworks, and Financial Practices in Kuwait City</w:t>
      </w:r>
    </w:p>
    <w:bookmarkEnd w:id="20"/>
    <w:p>
      <w:pPr>
        <w:pStyle w:val="BodyText"/>
      </w:pPr>
      <w:r>
        <w:t xml:space="preserve">The following annotated bibliography compiles essential resources regarding the role of the</w:t>
      </w:r>
      <w:r>
        <w:t xml:space="preserve"> </w:t>
      </w:r>
      <w:r>
        <w:rPr>
          <w:bCs/>
          <w:b/>
        </w:rPr>
        <w:t xml:space="preserve">Accountant</w:t>
      </w:r>
      <w:r>
        <w:t xml:space="preserve"> </w:t>
      </w:r>
      <w:r>
        <w:t xml:space="preserve">within the specific economic and legal landscape of</w:t>
      </w:r>
      <w:r>
        <w:t xml:space="preserve"> </w:t>
      </w:r>
      <w:r>
        <w:rPr>
          <w:bCs/>
          <w:b/>
        </w:rPr>
        <w:t xml:space="preserve">Kuwait City</w:t>
      </w:r>
      <w:r>
        <w:t xml:space="preserve">. As the financial hub of the State of Kuwait, the capital city hosts a complex mix of government entities, semi-government organizations, and private sector enterprises. This collection highlights the critical importance of adhering to local regulations, such as those enforced by the Ministry of Finance and the Public Authority for Insurance, while simultaneously integrating International Financial Reporting Standards (IFRS). These resources are vital for understanding the professional obligations, tax implications, and auditing requirements that define the accounting profession in this region.</w:t>
      </w:r>
    </w:p>
    <w:bookmarkStart w:id="24" w:name="X7406ddbe44dbb05ecd912f8e79cb0e67358690f"/>
    <w:p>
      <w:pPr>
        <w:pStyle w:val="Heading2"/>
      </w:pPr>
      <w:r>
        <w:t xml:space="preserve">Regulatory Frameworks and Legal Standards</w:t>
      </w:r>
    </w:p>
    <w:bookmarkStart w:id="21" w:name="Xc33df656c153d2896d5f81f74a6085b29b4f6bb"/>
    <w:p>
      <w:pPr>
        <w:pStyle w:val="Heading3"/>
      </w:pPr>
      <w:r>
        <w:t xml:space="preserve">1. Commercial Companies Law (Law No. 67 of 2015)</w:t>
      </w:r>
    </w:p>
    <w:p>
      <w:pPr>
        <w:pStyle w:val="FirstParagraph"/>
      </w:pPr>
      <w:r>
        <w:t xml:space="preserve">State of Kuwait. (2015).</w:t>
      </w:r>
      <w:r>
        <w:t xml:space="preserve"> </w:t>
      </w:r>
      <w:r>
        <w:rPr>
          <w:iCs/>
          <w:i/>
        </w:rPr>
        <w:t xml:space="preserve">Commercial Companies Law No. 67 of 2015</w:t>
      </w:r>
      <w:r>
        <w:t xml:space="preserve">. Official Gazette of the State of Kuwait.</w:t>
      </w:r>
    </w:p>
    <w:p>
      <w:pPr>
        <w:pStyle w:val="BodyText"/>
      </w:pPr>
      <w:r>
        <w:t xml:space="preserve">This primary legislation serves as the foundational legal framework for all business entities operating in Kuwait City. For the</w:t>
      </w:r>
      <w:r>
        <w:t xml:space="preserve"> </w:t>
      </w:r>
      <w:r>
        <w:rPr>
          <w:bCs/>
          <w:b/>
        </w:rPr>
        <w:t xml:space="preserve">Accountant</w:t>
      </w:r>
      <w:r>
        <w:t xml:space="preserve">, this law is indispensable as it dictates the requirements for financial reporting, capital maintenance, and corporate governance. The document outlines the mandatory procedures for preparing annual financial statements and the necessity of external audits for specific company structures. Understanding this law is crucial for accountants in Kuwait City to ensure that their clients remain compliant with local statutory requirements, avoiding legal penalties and ensuring the legitimacy of financial records within the Kuwaiti judicial system.</w:t>
      </w:r>
    </w:p>
    <w:bookmarkEnd w:id="21"/>
    <w:bookmarkStart w:id="22" w:name="the-kuwait-tax-law-law-no.-55-of-1980"/>
    <w:p>
      <w:pPr>
        <w:pStyle w:val="Heading3"/>
      </w:pPr>
      <w:r>
        <w:t xml:space="preserve">2. The Kuwait Tax Law (Law No. 55 of 1980)</w:t>
      </w:r>
    </w:p>
    <w:p>
      <w:pPr>
        <w:pStyle w:val="FirstParagraph"/>
      </w:pPr>
      <w:r>
        <w:t xml:space="preserve">Ministry of Finance, State of Kuwait. (1980).</w:t>
      </w:r>
      <w:r>
        <w:t xml:space="preserve"> </w:t>
      </w:r>
      <w:r>
        <w:rPr>
          <w:iCs/>
          <w:i/>
        </w:rPr>
        <w:t xml:space="preserve">Law No. 55 of 1980 Concerning Taxation</w:t>
      </w:r>
      <w:r>
        <w:t xml:space="preserve">. Kuwait Government Portal.</w:t>
      </w:r>
    </w:p>
    <w:p>
      <w:pPr>
        <w:pStyle w:val="BodyText"/>
      </w:pPr>
      <w:r>
        <w:t xml:space="preserve">While Kuwait is known for its lack of personal income tax, this law is critical for accountants dealing with foreign-owned enterprises and specific sectors. It details the taxation of non-Kuwaiti companies operating within the state. For an</w:t>
      </w:r>
      <w:r>
        <w:t xml:space="preserve"> </w:t>
      </w:r>
      <w:r>
        <w:rPr>
          <w:bCs/>
          <w:b/>
        </w:rPr>
        <w:t xml:space="preserve">Accountant</w:t>
      </w:r>
      <w:r>
        <w:t xml:space="preserve"> </w:t>
      </w:r>
      <w:r>
        <w:t xml:space="preserve">working in Kuwait City, particularly in multinational corporations or joint ventures, this document provides the necessary guidelines for calculating withholding taxes and corporate levies. It highlights the unique fiscal environment of the region, requiring professionals to possess specialized knowledge distinct from global norms regarding corporate taxation.</w:t>
      </w:r>
    </w:p>
    <w:bookmarkEnd w:id="22"/>
    <w:bookmarkStart w:id="23" w:name="X37169ebd09bb81a19e4cc1e1b813d1ae2feb686"/>
    <w:p>
      <w:pPr>
        <w:pStyle w:val="Heading3"/>
      </w:pPr>
      <w:r>
        <w:t xml:space="preserve">3. Public Authority for Insurance (PAI) Financial Regulations</w:t>
      </w:r>
    </w:p>
    <w:p>
      <w:pPr>
        <w:pStyle w:val="FirstParagraph"/>
      </w:pPr>
      <w:r>
        <w:t xml:space="preserve">Public Authority for Insurance. (2021).</w:t>
      </w:r>
      <w:r>
        <w:t xml:space="preserve"> </w:t>
      </w:r>
      <w:r>
        <w:rPr>
          <w:iCs/>
          <w:i/>
        </w:rPr>
        <w:t xml:space="preserve">Regulations for the Financial Management of Insurance Companies</w:t>
      </w:r>
      <w:r>
        <w:t xml:space="preserve">. PAI Official Publications.</w:t>
      </w:r>
    </w:p>
    <w:p>
      <w:pPr>
        <w:pStyle w:val="BodyText"/>
      </w:pPr>
      <w:r>
        <w:t xml:space="preserve">Given that Kuwait City is home to a robust insurance sector, this regulatory document is essential for accountants specializing in financial services. The PAI mandates strict adherence to solvency ratios and specific accounting treatments for insurance contracts. This resource illustrates how local regulatory bodies in Kuwait City enforce financial stability. It demonstrates that the role of the</w:t>
      </w:r>
      <w:r>
        <w:t xml:space="preserve"> </w:t>
      </w:r>
      <w:r>
        <w:rPr>
          <w:bCs/>
          <w:b/>
        </w:rPr>
        <w:t xml:space="preserve">Accountant</w:t>
      </w:r>
      <w:r>
        <w:t xml:space="preserve"> </w:t>
      </w:r>
      <w:r>
        <w:t xml:space="preserve">here extends beyond general bookkeeping to include complex regulatory compliance and risk management reporting specific to the Kuwaiti financial market.</w:t>
      </w:r>
    </w:p>
    <w:bookmarkEnd w:id="23"/>
    <w:bookmarkEnd w:id="24"/>
    <w:bookmarkStart w:id="27" w:name="Xff0f7f211ea6c2bce529a4b28d852f943d30289"/>
    <w:p>
      <w:pPr>
        <w:pStyle w:val="Heading2"/>
      </w:pPr>
      <w:r>
        <w:t xml:space="preserve">International Standards and Local Application</w:t>
      </w:r>
    </w:p>
    <w:bookmarkStart w:id="25" w:name="X679770710b12471628e1cfd72829f8393daf0c9"/>
    <w:p>
      <w:pPr>
        <w:pStyle w:val="Heading3"/>
      </w:pPr>
      <w:r>
        <w:t xml:space="preserve">4. IFRS Foundation: Implementation in the GCC Region</w:t>
      </w:r>
    </w:p>
    <w:p>
      <w:pPr>
        <w:pStyle w:val="FirstParagraph"/>
      </w:pPr>
      <w:r>
        <w:t xml:space="preserve">IFRS Foundation. (2022).</w:t>
      </w:r>
      <w:r>
        <w:t xml:space="preserve"> </w:t>
      </w:r>
      <w:r>
        <w:rPr>
          <w:iCs/>
          <w:i/>
        </w:rPr>
        <w:t xml:space="preserve">IFRS Standards: Adoption and Implementation in the Gulf Cooperation Council</w:t>
      </w:r>
      <w:r>
        <w:t xml:space="preserve">. IFRS.org.</w:t>
      </w:r>
    </w:p>
    <w:p>
      <w:pPr>
        <w:pStyle w:val="BodyText"/>
      </w:pPr>
      <w:r>
        <w:t xml:space="preserve">This report analyzes the adoption of International Financial Reporting Standards across the Gulf Cooperation Council, with specific case studies relevant to Kuwait. For the</w:t>
      </w:r>
      <w:r>
        <w:t xml:space="preserve"> </w:t>
      </w:r>
      <w:r>
        <w:rPr>
          <w:bCs/>
          <w:b/>
        </w:rPr>
        <w:t xml:space="preserve">Accountant</w:t>
      </w:r>
      <w:r>
        <w:t xml:space="preserve"> </w:t>
      </w:r>
      <w:r>
        <w:t xml:space="preserve">in Kuwait City, this resource bridges the gap between global best practices and local application. It explains how Kuwaiti entities align their financial statements with IFRS to attract foreign investment and ensure transparency. The document is vital for understanding the technical adjustments required when applying international standards to the unique economic conditions of Kuwait, such as oil revenue fluctuations and government subsidies.</w:t>
      </w:r>
    </w:p>
    <w:bookmarkEnd w:id="25"/>
    <w:bookmarkStart w:id="26" w:name="Xc5e9a82c72c08aa78578435e4d521dc277ebb40"/>
    <w:p>
      <w:pPr>
        <w:pStyle w:val="Heading3"/>
      </w:pPr>
      <w:r>
        <w:t xml:space="preserve">5. The Kuwait Institute for Scientific Research (KISR) Economic Reports</w:t>
      </w:r>
    </w:p>
    <w:p>
      <w:pPr>
        <w:pStyle w:val="FirstParagraph"/>
      </w:pPr>
      <w:r>
        <w:t xml:space="preserve">Kuwait Institute for Scientific Research. (2023).</w:t>
      </w:r>
      <w:r>
        <w:t xml:space="preserve"> </w:t>
      </w:r>
      <w:r>
        <w:rPr>
          <w:iCs/>
          <w:i/>
        </w:rPr>
        <w:t xml:space="preserve">Economic Diversification and Financial Sector Performance in Kuwait</w:t>
      </w:r>
      <w:r>
        <w:t xml:space="preserve">. KISR Publications.</w:t>
      </w:r>
    </w:p>
    <w:p>
      <w:pPr>
        <w:pStyle w:val="BodyText"/>
      </w:pPr>
      <w:r>
        <w:t xml:space="preserve">This economic analysis provides context for the financial environment in which accountants operate. It discusses the shift from an oil-dependent economy to a more diversified financial hub in Kuwait City. For an</w:t>
      </w:r>
      <w:r>
        <w:t xml:space="preserve"> </w:t>
      </w:r>
      <w:r>
        <w:rPr>
          <w:bCs/>
          <w:b/>
        </w:rPr>
        <w:t xml:space="preserve">Accountant</w:t>
      </w:r>
      <w:r>
        <w:t xml:space="preserve">, understanding these macroeconomic trends is essential for forecasting, budgeting, and strategic financial planning. The report highlights the increasing demand for sophisticated financial analysis and management accounting skills in Kuwait City as the private sector expands and seeks to reduce reliance on state funding.</w:t>
      </w:r>
    </w:p>
    <w:bookmarkEnd w:id="26"/>
    <w:bookmarkEnd w:id="27"/>
    <w:bookmarkStart w:id="31" w:name="professional-ethics-and-auditing"/>
    <w:p>
      <w:pPr>
        <w:pStyle w:val="Heading2"/>
      </w:pPr>
      <w:r>
        <w:t xml:space="preserve">Professional Ethics and Auditing</w:t>
      </w:r>
    </w:p>
    <w:bookmarkStart w:id="28" w:name="X6df64691f91fee8496f131fbe69e5e96ad05ab7"/>
    <w:p>
      <w:pPr>
        <w:pStyle w:val="Heading3"/>
      </w:pPr>
      <w:r>
        <w:t xml:space="preserve">6. International Ethics Standards Board for Accountants (IESBA) Code</w:t>
      </w:r>
    </w:p>
    <w:p>
      <w:pPr>
        <w:pStyle w:val="FirstParagraph"/>
      </w:pPr>
      <w:r>
        <w:t xml:space="preserve">IESBA. (2023).</w:t>
      </w:r>
      <w:r>
        <w:t xml:space="preserve"> </w:t>
      </w:r>
      <w:r>
        <w:rPr>
          <w:iCs/>
          <w:i/>
        </w:rPr>
        <w:t xml:space="preserve">International Code of Ethics for Professional Accountants</w:t>
      </w:r>
      <w:r>
        <w:t xml:space="preserve">. IFAC.</w:t>
      </w:r>
    </w:p>
    <w:p>
      <w:pPr>
        <w:pStyle w:val="BodyText"/>
      </w:pPr>
      <w:r>
        <w:t xml:space="preserve">This code establishes the fundamental principles of professional ethics, including integrity, objectivity, and professional competence. In the context of Kuwait City, where business relationships are often deeply personal and community-oriented, this document serves as a critical guide for maintaining professional boundaries. It is particularly relevant for</w:t>
      </w:r>
      <w:r>
        <w:t xml:space="preserve"> </w:t>
      </w:r>
      <w:r>
        <w:rPr>
          <w:bCs/>
          <w:b/>
        </w:rPr>
        <w:t xml:space="preserve">Accountants</w:t>
      </w:r>
      <w:r>
        <w:t xml:space="preserve"> </w:t>
      </w:r>
      <w:r>
        <w:t xml:space="preserve">navigating conflicts of interest in family-owned businesses, which are prevalent in the Kuwaiti market. Adherence to this code ensures that financial reporting in Kuwait City maintains global credibility and trust.</w:t>
      </w:r>
    </w:p>
    <w:bookmarkEnd w:id="28"/>
    <w:bookmarkStart w:id="29" w:name="X13c1cb1822e98eec2a588d14cf4ea21d67ccb9b"/>
    <w:p>
      <w:pPr>
        <w:pStyle w:val="Heading3"/>
      </w:pPr>
      <w:r>
        <w:t xml:space="preserve">7. Audit Standards for Government Entities in Kuwait</w:t>
      </w:r>
    </w:p>
    <w:p>
      <w:pPr>
        <w:pStyle w:val="FirstParagraph"/>
      </w:pPr>
      <w:r>
        <w:t xml:space="preserve">Ministry of Finance, State of Kuwait. (2020).</w:t>
      </w:r>
      <w:r>
        <w:t xml:space="preserve"> </w:t>
      </w:r>
      <w:r>
        <w:rPr>
          <w:iCs/>
          <w:i/>
        </w:rPr>
        <w:t xml:space="preserve">Guidelines for Internal and External Auditing of Government Entities</w:t>
      </w:r>
      <w:r>
        <w:t xml:space="preserve">. Ministry of Finance.</w:t>
      </w:r>
    </w:p>
    <w:p>
      <w:pPr>
        <w:pStyle w:val="BodyText"/>
      </w:pPr>
      <w:r>
        <w:t xml:space="preserve">A significant portion of the economy in Kuwait City is driven by government spending and public sector entities. This document outlines the rigorous auditing standards required for public funds. For the</w:t>
      </w:r>
      <w:r>
        <w:t xml:space="preserve"> </w:t>
      </w:r>
      <w:r>
        <w:rPr>
          <w:bCs/>
          <w:b/>
        </w:rPr>
        <w:t xml:space="preserve">Accountant</w:t>
      </w:r>
      <w:r>
        <w:t xml:space="preserve"> </w:t>
      </w:r>
      <w:r>
        <w:t xml:space="preserve">working in or with government bodies, this resource is mandatory. It details the procedures for transparency, accountability, and the prevention of fraud within public institutions. It underscores the heightened level of scrutiny and documentation required in the public sector compared to the private sector in Kuwait City.</w:t>
      </w:r>
    </w:p>
    <w:bookmarkEnd w:id="29"/>
    <w:bookmarkStart w:id="30" w:name="X460bc0c48367d4891b1fafbed55cbe6df53d764"/>
    <w:p>
      <w:pPr>
        <w:pStyle w:val="Heading3"/>
      </w:pPr>
      <w:r>
        <w:t xml:space="preserve">8. The Role of Technology in Kuwaiti Accounting</w:t>
      </w:r>
    </w:p>
    <w:p>
      <w:pPr>
        <w:pStyle w:val="FirstParagraph"/>
      </w:pPr>
      <w:r>
        <w:t xml:space="preserve">Al-Salem, M. (2022).</w:t>
      </w:r>
      <w:r>
        <w:t xml:space="preserve"> </w:t>
      </w:r>
      <w:r>
        <w:rPr>
          <w:iCs/>
          <w:i/>
        </w:rPr>
        <w:t xml:space="preserve">Digital Transformation in Financial Reporting: A Case Study of Kuwait City</w:t>
      </w:r>
      <w:r>
        <w:t xml:space="preserve">. Journal of Gulf Business Studies.</w:t>
      </w:r>
    </w:p>
    <w:p>
      <w:pPr>
        <w:pStyle w:val="BodyText"/>
      </w:pPr>
      <w:r>
        <w:t xml:space="preserve">This academic article explores the rapid adoption of cloud accounting and ERP systems in Kuwait City. It argues that the modern</w:t>
      </w:r>
      <w:r>
        <w:t xml:space="preserve"> </w:t>
      </w:r>
      <w:r>
        <w:rPr>
          <w:bCs/>
          <w:b/>
        </w:rPr>
        <w:t xml:space="preserve">Accountant</w:t>
      </w:r>
      <w:r>
        <w:t xml:space="preserve"> </w:t>
      </w:r>
      <w:r>
        <w:t xml:space="preserve">in Kuwait must be proficient in digital tools to manage the increasing volume of financial data. The study highlights how technology is reshaping the profession, moving it from traditional record-keeping to strategic advisory roles. This resource is essential for understanding the future trajectory of the accounting profession in Kuwait City and the technical skills required to remain competitive in the local job market.</w:t>
      </w:r>
    </w:p>
    <w:bookmarkEnd w:id="30"/>
    <w:bookmarkEnd w:id="31"/>
    <w:p>
      <w:pPr>
        <w:pStyle w:val="BodyText"/>
      </w:pPr>
      <w:r>
        <w:t xml:space="preserve">Document generated for educational and professional reference purposes regarding Accounting in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Accounting Practices in Kuwait City</dc:title>
  <dc:creator/>
  <dc:language>en</dc:language>
  <cp:keywords/>
  <dcterms:created xsi:type="dcterms:W3CDTF">2026-08-06T22:42:52Z</dcterms:created>
  <dcterms:modified xsi:type="dcterms:W3CDTF">2026-08-06T22:42:52Z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