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Subject: The Professional Accountant in the Economic Landscape of Kuala Lumpur, Malaysia</w:t>
      </w:r>
    </w:p>
    <w:bookmarkEnd w:id="20"/>
    <w:p>
      <w:pPr>
        <w:pStyle w:val="BodyText"/>
      </w:pPr>
      <w:r>
        <w:t xml:space="preserve">This annotated bibliography compiles essential literature regarding the evolving role of the</w:t>
      </w:r>
      <w:r>
        <w:t xml:space="preserve"> </w:t>
      </w:r>
      <w:r>
        <w:rPr>
          <w:bCs/>
          <w:b/>
        </w:rPr>
        <w:t xml:space="preserve">accountant</w:t>
      </w:r>
      <w:r>
        <w:t xml:space="preserve"> </w:t>
      </w:r>
      <w:r>
        <w:t xml:space="preserve">within the specific context of</w:t>
      </w:r>
      <w:r>
        <w:t xml:space="preserve"> </w:t>
      </w:r>
      <w:r>
        <w:rPr>
          <w:bCs/>
          <w:b/>
        </w:rPr>
        <w:t xml:space="preserve">Malaysia Kuala Lumpur</w:t>
      </w:r>
      <w:r>
        <w:t xml:space="preserve">. As the financial hub of Southeast Asia, Kuala Lumpur presents a unique environment where global financial standards intersect with local regulatory frameworks. The following entries explore the impact of digital transformation, the implementation of the Goods and Services Tax (GST) and Sales and Service Tax (SST), corporate governance requirements, and the strategic necessity of the modern accountant in the city's competitive business sector.</w:t>
      </w:r>
    </w:p>
    <w:bookmarkStart w:id="21" w:name="regulatory-frameworks-and-taxation"/>
    <w:p>
      <w:pPr>
        <w:pStyle w:val="Heading2"/>
      </w:pPr>
      <w:r>
        <w:t xml:space="preserve">Regulatory Frameworks and Taxation</w:t>
      </w:r>
    </w:p>
    <w:p>
      <w:pPr>
        <w:pStyle w:val="FirstParagraph"/>
      </w:pPr>
      <w:r>
        <w:t xml:space="preserve">Ministry of Finance Malaysia. (2023).</w:t>
      </w:r>
      <w:r>
        <w:t xml:space="preserve"> </w:t>
      </w:r>
      <w:r>
        <w:rPr>
          <w:iCs/>
          <w:i/>
        </w:rPr>
        <w:t xml:space="preserve">Annual Report on Tax Administration and Compliance in the Federal Territory of Kuala Lumpur</w:t>
      </w:r>
      <w:r>
        <w:t xml:space="preserve">. Putrajaya: Government Printing Office.</w:t>
      </w:r>
    </w:p>
    <w:p>
      <w:pPr>
        <w:pStyle w:val="BodyText"/>
      </w:pPr>
      <w:r>
        <w:t xml:space="preserve">This official government report provides a comprehensive overview of the tax landscape in Kuala Lumpur. It details the transition from the Goods and Services Tax (GST) to the Sales and Service Tax (SST) and its direct impact on local businesses. For the</w:t>
      </w:r>
      <w:r>
        <w:t xml:space="preserve"> </w:t>
      </w:r>
      <w:r>
        <w:rPr>
          <w:bCs/>
          <w:b/>
        </w:rPr>
        <w:t xml:space="preserve">accountant</w:t>
      </w:r>
      <w:r>
        <w:t xml:space="preserve"> </w:t>
      </w:r>
      <w:r>
        <w:t xml:space="preserve">operating in</w:t>
      </w:r>
      <w:r>
        <w:t xml:space="preserve"> </w:t>
      </w:r>
      <w:r>
        <w:rPr>
          <w:bCs/>
          <w:b/>
        </w:rPr>
        <w:t xml:space="preserve">Malaysia Kuala Lumpur</w:t>
      </w:r>
      <w:r>
        <w:t xml:space="preserve">, this document is critical for understanding current compliance obligations. The report highlights how local firms in the capital must adapt their accounting systems to meet the specific reporting requirements of the Royal Malaysian Customs Department. It serves as a primary source for understanding the regulatory burden and the strategic importance of tax planning in the city's high-density commercial zones.</w:t>
      </w:r>
    </w:p>
    <w:p>
      <w:pPr>
        <w:pStyle w:val="BodyText"/>
      </w:pPr>
      <w:r>
        <w:t xml:space="preserve">Malaysian Institute of Accountants (MIA). (2022).</w:t>
      </w:r>
      <w:r>
        <w:t xml:space="preserve"> </w:t>
      </w:r>
      <w:r>
        <w:rPr>
          <w:iCs/>
          <w:i/>
        </w:rPr>
        <w:t xml:space="preserve">Code of Ethics for Professional Accountants: Local Application and Enforcement</w:t>
      </w:r>
      <w:r>
        <w:t xml:space="preserve">. Kuala Lumpur: MIA Publications.</w:t>
      </w:r>
    </w:p>
    <w:p>
      <w:pPr>
        <w:pStyle w:val="BodyText"/>
      </w:pPr>
      <w:r>
        <w:t xml:space="preserve">This publication outlines the ethical standards mandated by the Malaysian Institute of Accountants (MIA). It is particularly relevant to the</w:t>
      </w:r>
      <w:r>
        <w:t xml:space="preserve"> </w:t>
      </w:r>
      <w:r>
        <w:rPr>
          <w:bCs/>
          <w:b/>
        </w:rPr>
        <w:t xml:space="preserve">accountant</w:t>
      </w:r>
      <w:r>
        <w:t xml:space="preserve"> </w:t>
      </w:r>
      <w:r>
        <w:t xml:space="preserve">in</w:t>
      </w:r>
      <w:r>
        <w:t xml:space="preserve"> </w:t>
      </w:r>
      <w:r>
        <w:rPr>
          <w:bCs/>
          <w:b/>
        </w:rPr>
        <w:t xml:space="preserve">Malaysia Kuala Lumpur</w:t>
      </w:r>
      <w:r>
        <w:t xml:space="preserve">, where the concentration of multinational corporations and listed companies on Bursa Malaysia is highest. The text discusses the enforcement of integrity, objectivity, and professional competence within the capital's corporate environment. It provides case studies relevant to the local context, illustrating how ethical lapses are handled by the MIA. This source is essential for understanding the professional responsibilities and legal liabilities faced by accounting practitioners in the city.</w:t>
      </w:r>
    </w:p>
    <w:bookmarkEnd w:id="21"/>
    <w:bookmarkStart w:id="22" w:name="digital-transformation-and-technology"/>
    <w:p>
      <w:pPr>
        <w:pStyle w:val="Heading2"/>
      </w:pPr>
      <w:r>
        <w:t xml:space="preserve">Digital Transformation and Technology</w:t>
      </w:r>
    </w:p>
    <w:p>
      <w:pPr>
        <w:pStyle w:val="FirstParagraph"/>
      </w:pPr>
      <w:r>
        <w:t xml:space="preserve">Tan, K. L., &amp; Lee, S. M. (2023). "The Impact of Artificial Intelligence on Financial Reporting in Kuala Lumpur SMEs."</w:t>
      </w:r>
      <w:r>
        <w:t xml:space="preserve"> </w:t>
      </w:r>
      <w:r>
        <w:rPr>
          <w:iCs/>
          <w:i/>
        </w:rPr>
        <w:t xml:space="preserve">Journal of Southeast Asian Business Studies</w:t>
      </w:r>
      <w:r>
        <w:t xml:space="preserve">, 15(2), 112-130.</w:t>
      </w:r>
    </w:p>
    <w:p>
      <w:pPr>
        <w:pStyle w:val="BodyText"/>
      </w:pPr>
      <w:r>
        <w:t xml:space="preserve">This peer-reviewed article examines the adoption of Artificial Intelligence (AI) and automation tools by Small and Medium Enterprises (SMEs) in Kuala Lumpur. The authors argue that the traditional role of the</w:t>
      </w:r>
      <w:r>
        <w:t xml:space="preserve"> </w:t>
      </w:r>
      <w:r>
        <w:rPr>
          <w:bCs/>
          <w:b/>
        </w:rPr>
        <w:t xml:space="preserve">accountant</w:t>
      </w:r>
      <w:r>
        <w:t xml:space="preserve"> </w:t>
      </w:r>
      <w:r>
        <w:t xml:space="preserve">in</w:t>
      </w:r>
      <w:r>
        <w:t xml:space="preserve"> </w:t>
      </w:r>
      <w:r>
        <w:rPr>
          <w:bCs/>
          <w:b/>
        </w:rPr>
        <w:t xml:space="preserve">Malaysia Kuala Lumpur</w:t>
      </w:r>
      <w:r>
        <w:t xml:space="preserve"> </w:t>
      </w:r>
      <w:r>
        <w:t xml:space="preserve">is shifting from data entry to strategic analysis due to technological advancements. The study highlights specific challenges faced by local firms, such as the high cost of implementation and the skills gap among local staff. This source is valuable for understanding the technological pressures driving change in the local accounting profession and the necessity for continuous professional development in the capital's tech-savvy business district.</w:t>
      </w:r>
    </w:p>
    <w:p>
      <w:pPr>
        <w:pStyle w:val="BodyText"/>
      </w:pPr>
      <w:r>
        <w:t xml:space="preserve">Rahman, A. (2021).</w:t>
      </w:r>
      <w:r>
        <w:t xml:space="preserve"> </w:t>
      </w:r>
      <w:r>
        <w:rPr>
          <w:iCs/>
          <w:i/>
        </w:rPr>
        <w:t xml:space="preserve">Cloud Accounting Adoption in the Malaysian Capital: Opportunities and Security Risks</w:t>
      </w:r>
      <w:r>
        <w:t xml:space="preserve">. Kuala Lumpur: University of Malaya Press.</w:t>
      </w:r>
    </w:p>
    <w:p>
      <w:pPr>
        <w:pStyle w:val="BodyText"/>
      </w:pPr>
      <w:r>
        <w:t xml:space="preserve">Rahman's monograph explores the rapid shift towards cloud-based accounting solutions among businesses in Kuala Lumpur. The text analyzes how cloud technology facilitates real-time financial monitoring for companies operating in the Klang Valley. For the</w:t>
      </w:r>
      <w:r>
        <w:t xml:space="preserve"> </w:t>
      </w:r>
      <w:r>
        <w:rPr>
          <w:bCs/>
          <w:b/>
        </w:rPr>
        <w:t xml:space="preserve">accountant</w:t>
      </w:r>
      <w:r>
        <w:t xml:space="preserve"> </w:t>
      </w:r>
      <w:r>
        <w:t xml:space="preserve">in</w:t>
      </w:r>
      <w:r>
        <w:t xml:space="preserve"> </w:t>
      </w:r>
      <w:r>
        <w:rPr>
          <w:bCs/>
          <w:b/>
        </w:rPr>
        <w:t xml:space="preserve">Malaysia Kuala Lumpur</w:t>
      </w:r>
      <w:r>
        <w:t xml:space="preserve">, this work is crucial as it addresses data sovereignty issues and cybersecurity concerns specific to the region. It provides a balanced view of the efficiency gains versus the potential risks of storing sensitive financial data on external servers, offering practical recommendations for local practitioners navigating this digital transition.</w:t>
      </w:r>
    </w:p>
    <w:bookmarkEnd w:id="22"/>
    <w:bookmarkStart w:id="23" w:name="Xaca1b83a5b37c07958b227f210e170322aa1fc0"/>
    <w:p>
      <w:pPr>
        <w:pStyle w:val="Heading2"/>
      </w:pPr>
      <w:r>
        <w:t xml:space="preserve">Corporate Governance and Strategic Management</w:t>
      </w:r>
    </w:p>
    <w:p>
      <w:pPr>
        <w:pStyle w:val="FirstParagraph"/>
      </w:pPr>
      <w:r>
        <w:t xml:space="preserve">Bursa Malaysia Securities Berhad. (2024).</w:t>
      </w:r>
      <w:r>
        <w:t xml:space="preserve"> </w:t>
      </w:r>
      <w:r>
        <w:rPr>
          <w:iCs/>
          <w:i/>
        </w:rPr>
        <w:t xml:space="preserve">Malaysian Code on Corporate Governance: Guidelines for Listed Issuers</w:t>
      </w:r>
      <w:r>
        <w:t xml:space="preserve">. Kuala Lumpur: Bursa Malaysia.</w:t>
      </w:r>
    </w:p>
    <w:p>
      <w:pPr>
        <w:pStyle w:val="BodyText"/>
      </w:pPr>
      <w:r>
        <w:t xml:space="preserve">This document sets the standard for corporate governance for all companies listed on Bursa Malaysia, the majority of which have their headquarters in Kuala Lumpur. It emphasizes the critical role of the</w:t>
      </w:r>
      <w:r>
        <w:t xml:space="preserve"> </w:t>
      </w:r>
      <w:r>
        <w:rPr>
          <w:bCs/>
          <w:b/>
        </w:rPr>
        <w:t xml:space="preserve">accountant</w:t>
      </w:r>
      <w:r>
        <w:t xml:space="preserve"> </w:t>
      </w:r>
      <w:r>
        <w:t xml:space="preserve">and the audit committee in ensuring transparency and accountability. The guidelines detail the requirements for financial reporting, risk management, and internal controls. For professionals in</w:t>
      </w:r>
      <w:r>
        <w:t xml:space="preserve"> </w:t>
      </w:r>
      <w:r>
        <w:rPr>
          <w:bCs/>
          <w:b/>
        </w:rPr>
        <w:t xml:space="preserve">Malaysia Kuala Lumpur</w:t>
      </w:r>
      <w:r>
        <w:t xml:space="preserve">, this is a mandatory reference that dictates how financial information must be presented to stakeholders. It underscores the accountant's role as a guardian of corporate integrity in the nation's primary financial market.</w:t>
      </w:r>
    </w:p>
    <w:p>
      <w:pPr>
        <w:pStyle w:val="BodyText"/>
      </w:pPr>
      <w:r>
        <w:t xml:space="preserve">Wong, H. Y. (2022). "Strategic Management Accounting in the Competitive Landscape of Kuala Lumpur."</w:t>
      </w:r>
      <w:r>
        <w:t xml:space="preserve"> </w:t>
      </w:r>
      <w:r>
        <w:rPr>
          <w:iCs/>
          <w:i/>
        </w:rPr>
        <w:t xml:space="preserve">Asian Journal of Accounting Research</w:t>
      </w:r>
      <w:r>
        <w:t xml:space="preserve">, 7(1), 45-62.</w:t>
      </w:r>
    </w:p>
    <w:p>
      <w:pPr>
        <w:pStyle w:val="BodyText"/>
      </w:pPr>
      <w:r>
        <w:t xml:space="preserve">Wong's research focuses on the evolution of management accounting practices within the competitive business environment of Kuala Lumpur. The article argues that to survive in the capital's saturated market, the</w:t>
      </w:r>
      <w:r>
        <w:t xml:space="preserve"> </w:t>
      </w:r>
      <w:r>
        <w:rPr>
          <w:bCs/>
          <w:b/>
        </w:rPr>
        <w:t xml:space="preserve">accountant</w:t>
      </w:r>
      <w:r>
        <w:t xml:space="preserve"> </w:t>
      </w:r>
      <w:r>
        <w:t xml:space="preserve">must act as a strategic business partner rather than just a scorekeeper. The study provides empirical evidence from local firms showing how strategic cost management and performance measurement contribute to competitive advantage. This source is highly relevant for understanding the modern expectations placed on accountants in</w:t>
      </w:r>
      <w:r>
        <w:t xml:space="preserve"> </w:t>
      </w:r>
      <w:r>
        <w:rPr>
          <w:bCs/>
          <w:b/>
        </w:rPr>
        <w:t xml:space="preserve">Malaysia Kuala Lumpur</w:t>
      </w:r>
      <w:r>
        <w:t xml:space="preserve">, where businesses must constantly innovate to maintain profitability.</w:t>
      </w:r>
    </w:p>
    <w:bookmarkEnd w:id="23"/>
    <w:bookmarkStart w:id="24" w:name="Xd1e511a2da8cddffc54e8bcd04cb7a1978a24f8"/>
    <w:p>
      <w:pPr>
        <w:pStyle w:val="Heading2"/>
      </w:pPr>
      <w:r>
        <w:t xml:space="preserve">International Standards and Global Integration</w:t>
      </w:r>
    </w:p>
    <w:p>
      <w:pPr>
        <w:pStyle w:val="FirstParagraph"/>
      </w:pPr>
      <w:r>
        <w:t xml:space="preserve">International Federation of Accountants (IFAC). (2023).</w:t>
      </w:r>
      <w:r>
        <w:t xml:space="preserve"> </w:t>
      </w:r>
      <w:r>
        <w:rPr>
          <w:iCs/>
          <w:i/>
        </w:rPr>
        <w:t xml:space="preserve">Global Harmonization of Accounting Standards: Implications for Emerging Markets like Malaysia</w:t>
      </w:r>
      <w:r>
        <w:t xml:space="preserve">. New York: IFAC.</w:t>
      </w:r>
    </w:p>
    <w:p>
      <w:pPr>
        <w:pStyle w:val="BodyText"/>
      </w:pPr>
      <w:r>
        <w:t xml:space="preserve">This report discusses the global trend towards the harmonization of accounting standards and its specific implications for emerging markets, with a dedicated section on Malaysia. It highlights how the adoption of International Financial Reporting Standards (IFRS) has integrated the</w:t>
      </w:r>
      <w:r>
        <w:t xml:space="preserve"> </w:t>
      </w:r>
      <w:r>
        <w:rPr>
          <w:bCs/>
          <w:b/>
        </w:rPr>
        <w:t xml:space="preserve">accountant</w:t>
      </w:r>
      <w:r>
        <w:t xml:space="preserve"> </w:t>
      </w:r>
      <w:r>
        <w:t xml:space="preserve">in</w:t>
      </w:r>
      <w:r>
        <w:t xml:space="preserve"> </w:t>
      </w:r>
      <w:r>
        <w:rPr>
          <w:bCs/>
          <w:b/>
        </w:rPr>
        <w:t xml:space="preserve">Malaysia Kuala Lumpur</w:t>
      </w:r>
      <w:r>
        <w:t xml:space="preserve"> </w:t>
      </w:r>
      <w:r>
        <w:t xml:space="preserve">into the global financial community. The document explains how this alignment facilitates foreign direct investment into the capital. For local practitioners, this source provides context on why adherence to international standards is not just a regulatory requirement but a strategic tool for attracting global capital to Kuala Lumpur-based enterprises.</w:t>
      </w:r>
    </w:p>
    <w:p>
      <w:pPr>
        <w:pStyle w:val="BodyText"/>
      </w:pPr>
      <w:r>
        <w:t xml:space="preserve">Chong, C. K. (2023). "The Role of the Chartered Accountant in Facilitating Cross-Border Trade in the ASEAN Region."</w:t>
      </w:r>
      <w:r>
        <w:t xml:space="preserve"> </w:t>
      </w:r>
      <w:r>
        <w:rPr>
          <w:iCs/>
          <w:i/>
        </w:rPr>
        <w:t xml:space="preserve">Journal of International Business and Accounting</w:t>
      </w:r>
      <w:r>
        <w:t xml:space="preserve">, 12(3), 201-215.</w:t>
      </w:r>
    </w:p>
    <w:p>
      <w:pPr>
        <w:pStyle w:val="BodyText"/>
      </w:pPr>
      <w:r>
        <w:t xml:space="preserve">Chong's article examines the pivotal role of the chartered</w:t>
      </w:r>
      <w:r>
        <w:t xml:space="preserve"> </w:t>
      </w:r>
      <w:r>
        <w:rPr>
          <w:bCs/>
          <w:b/>
        </w:rPr>
        <w:t xml:space="preserve">accountant</w:t>
      </w:r>
      <w:r>
        <w:t xml:space="preserve"> </w:t>
      </w:r>
      <w:r>
        <w:t xml:space="preserve">based in Kuala Lumpur in facilitating trade within the ASEAN region. As the financial gateway to Southeast Asia, Kuala Lumpur hosts numerous regional headquarters. The text details how local accountants navigate complex cross-border tax treaties, transfer pricing regulations, and currency fluctuations. This source is essential for understanding the specialized skills required of accountants in</w:t>
      </w:r>
      <w:r>
        <w:t xml:space="preserve"> </w:t>
      </w:r>
      <w:r>
        <w:rPr>
          <w:bCs/>
          <w:b/>
        </w:rPr>
        <w:t xml:space="preserve">Malaysia Kuala Lumpur</w:t>
      </w:r>
      <w:r>
        <w:t xml:space="preserve"> </w:t>
      </w:r>
      <w:r>
        <w:t xml:space="preserve">who serve multinational clients. It highlights the city's strategic position and the accountant's function as a key enabler of regional economic integration.</w:t>
      </w:r>
    </w:p>
    <w:p>
      <w:pPr>
        <w:pStyle w:val="BodyText"/>
      </w:pPr>
      <w:r>
        <w:t xml:space="preserve">© 2024 Annotated Bibliography on the Accountant in Kuala Lumpur, Malaysia.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Kuala Lumpur, Malaysia</dc:title>
  <dc:creator/>
  <dc:language>en</dc:language>
  <cp:keywords/>
  <dcterms:created xsi:type="dcterms:W3CDTF">2026-08-07T07:23:22Z</dcterms:created>
  <dcterms:modified xsi:type="dcterms:W3CDTF">2026-08-07T07:23:22Z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