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X46a861f94c5e8185cf68305e275895fb8550780"/>
    <w:p>
      <w:pPr>
        <w:pStyle w:val="Heading1"/>
      </w:pPr>
      <w:r>
        <w:t xml:space="preserve">Annotated Bibliography: The Role of the Accountant in Riyadh, Saudi Arabia</w:t>
      </w:r>
    </w:p>
    <w:p>
      <w:pPr>
        <w:pStyle w:val="FirstParagraph"/>
      </w:pPr>
      <w:r>
        <w:t xml:space="preserve">A comprehensive review of literature regarding financial regulations, professional standards, and economic transformation within the Kingdom's capital.</w:t>
      </w:r>
    </w:p>
    <w:bookmarkEnd w:id="20"/>
    <w:p>
      <w:pPr>
        <w:pStyle w:val="BodyText"/>
      </w:pPr>
      <w:r>
        <w:t xml:space="preserve">The following annotated bibliography compiles essential resources regarding the profession of the accountant within the specific context of Riyadh, Saudi Arabia. As the capital city and the primary economic hub of the Kingdom, Riyadh serves as the epicenter for the implementation of Vision 2030. This document explores the regulatory frameworks, tax reforms, and professional standards that define the modern accounting landscape in the region.</w:t>
      </w:r>
    </w:p>
    <w:bookmarkStart w:id="21" w:name="regulatory-frameworks-and-vision-2030"/>
    <w:p>
      <w:pPr>
        <w:pStyle w:val="Heading2"/>
      </w:pPr>
      <w:r>
        <w:t xml:space="preserve">Regulatory Frameworks and Vision 2030</w:t>
      </w:r>
    </w:p>
    <w:p>
      <w:pPr>
        <w:pStyle w:val="FirstParagraph"/>
      </w:pPr>
      <w:r>
        <w:t xml:space="preserve"> </w:t>
      </w:r>
      <w:r>
        <w:t xml:space="preserve">General Authority for Zakat and Tax (GAZT). (2023).</w:t>
      </w:r>
      <w:r>
        <w:t xml:space="preserve"> </w:t>
      </w:r>
      <w:r>
        <w:rPr>
          <w:iCs/>
          <w:i/>
        </w:rPr>
        <w:t xml:space="preserve">Value Added Tax (VAT) Law and Executive Regulations</w:t>
      </w:r>
      <w:r>
        <w:t xml:space="preserve">. Riyadh: Government of Saudi Arabia.</w:t>
      </w:r>
      <w:r>
        <w:t xml:space="preserve"> </w:t>
      </w:r>
    </w:p>
    <w:p>
      <w:pPr>
        <w:pStyle w:val="BodyText"/>
      </w:pPr>
      <w:r>
        <w:t xml:space="preserve">This primary source outlines the legal framework governing Value Added Tax in the Kingdom. For an accountant operating in Riyadh, this document is indispensable. It details the obligations for registration, filing, and compliance for businesses across various sectors, from construction to retail. The text is critical for understanding the shift from a purely oil-based economy to a diversified commercial environment where indirect taxation plays a pivotal role. It serves as the foundational reference for tax accountants ensuring corporate compliance in the capital.</w:t>
      </w:r>
    </w:p>
    <w:p>
      <w:pPr>
        <w:pStyle w:val="BodyText"/>
      </w:pPr>
      <w:r>
        <w:t xml:space="preserve"> </w:t>
      </w:r>
      <w:r>
        <w:t xml:space="preserve">Ministry of Commerce. (2022).</w:t>
      </w:r>
      <w:r>
        <w:t xml:space="preserve"> </w:t>
      </w:r>
      <w:r>
        <w:rPr>
          <w:iCs/>
          <w:i/>
        </w:rPr>
        <w:t xml:space="preserve">Commercial Companies Law of the Kingdom of Saudi Arabia</w:t>
      </w:r>
      <w:r>
        <w:t xml:space="preserve">. Riyadh: Ministry of Commerce.</w:t>
      </w:r>
      <w:r>
        <w:t xml:space="preserve"> </w:t>
      </w:r>
    </w:p>
    <w:p>
      <w:pPr>
        <w:pStyle w:val="BodyText"/>
      </w:pPr>
      <w:r>
        <w:t xml:space="preserve">This legislation provides the statutory requirements for the formation, governance, and financial reporting of companies in Saudi Arabia. It is particularly relevant for accountants in Riyadh who advise on corporate structuring and audit requirements. The law mandates specific financial disclosures and audit procedures, aligning local practices with international standards. Understanding this text is essential for accountants navigating the legalities of joint-stock companies and limited liability entities within the Riyadh business district.</w:t>
      </w:r>
    </w:p>
    <w:p>
      <w:pPr>
        <w:pStyle w:val="BodyText"/>
      </w:pPr>
      <w:r>
        <w:t xml:space="preserve"> </w:t>
      </w:r>
      <w:r>
        <w:t xml:space="preserve">Saudi Vision 2030. (2016).</w:t>
      </w:r>
      <w:r>
        <w:t xml:space="preserve"> </w:t>
      </w:r>
      <w:r>
        <w:rPr>
          <w:iCs/>
          <w:i/>
        </w:rPr>
        <w:t xml:space="preserve">Vision 2030: The Vision of Saudi Arabia</w:t>
      </w:r>
      <w:r>
        <w:t xml:space="preserve">. Riyadh: Royal Court of Saudi Arabia.</w:t>
      </w:r>
      <w:r>
        <w:t xml:space="preserve"> </w:t>
      </w:r>
    </w:p>
    <w:p>
      <w:pPr>
        <w:pStyle w:val="BodyText"/>
      </w:pPr>
      <w:r>
        <w:t xml:space="preserve">While not a technical accounting manual, this strategic framework is the driving force behind the current demand for professional accountants in Riyadh. It outlines the Kingdom's goal to diversify the economy, privatize state assets, and attract foreign direct investment. For the accounting profession, this document explains the macroeconomic context that necessitates transparency, robust auditing, and international financial reporting standards. It highlights why Riyadh has become a magnet for financial services and why accountants must be adept at managing complex, multi-national financial structures.</w:t>
      </w:r>
    </w:p>
    <w:bookmarkEnd w:id="21"/>
    <w:bookmarkStart w:id="22" w:name="professional-standards-and-ethics"/>
    <w:p>
      <w:pPr>
        <w:pStyle w:val="Heading2"/>
      </w:pPr>
      <w:r>
        <w:t xml:space="preserve">Professional Standards and Ethics</w:t>
      </w:r>
    </w:p>
    <w:p>
      <w:pPr>
        <w:pStyle w:val="FirstParagraph"/>
      </w:pPr>
      <w:r>
        <w:t xml:space="preserve"> </w:t>
      </w:r>
      <w:r>
        <w:t xml:space="preserve">Saudi Organization for Chartered and Professional Accountants (SOCPA). (2023).</w:t>
      </w:r>
      <w:r>
        <w:t xml:space="preserve"> </w:t>
      </w:r>
      <w:r>
        <w:rPr>
          <w:iCs/>
          <w:i/>
        </w:rPr>
        <w:t xml:space="preserve">Code of Ethics for Professional Accountants</w:t>
      </w:r>
      <w:r>
        <w:t xml:space="preserve">. Riyadh: SOCPA.</w:t>
      </w:r>
      <w:r>
        <w:t xml:space="preserve"> </w:t>
      </w:r>
    </w:p>
    <w:p>
      <w:pPr>
        <w:pStyle w:val="BodyText"/>
      </w:pPr>
      <w:r>
        <w:t xml:space="preserve">This document establishes the ethical framework for all licensed accountants in the Kingdom. It aligns with the International Ethics Standards Board for Accountants (IESBA) Code but includes specific provisions relevant to the Saudi cultural and legal context. For practitioners in Riyadh, this code is mandatory. It addresses issues of independence, confidentiality, and professional behavior. It is a crucial resource for ensuring that financial reporting in the capital maintains the integrity required to support the Kingdom's growing capital markets.</w:t>
      </w:r>
    </w:p>
    <w:p>
      <w:pPr>
        <w:pStyle w:val="BodyText"/>
      </w:pPr>
      <w:r>
        <w:t xml:space="preserve"> </w:t>
      </w:r>
      <w:r>
        <w:t xml:space="preserve">International Financial Reporting Standards (IFRS). (2023).</w:t>
      </w:r>
      <w:r>
        <w:t xml:space="preserve"> </w:t>
      </w:r>
      <w:r>
        <w:rPr>
          <w:iCs/>
          <w:i/>
        </w:rPr>
        <w:t xml:space="preserve">IFRS Standards: Full Text</w:t>
      </w:r>
      <w:r>
        <w:t xml:space="preserve">. London: IFRS Foundation.</w:t>
      </w:r>
      <w:r>
        <w:t xml:space="preserve"> </w:t>
      </w:r>
    </w:p>
    <w:p>
      <w:pPr>
        <w:pStyle w:val="BodyText"/>
      </w:pPr>
      <w:r>
        <w:t xml:space="preserve">Saudi Arabia has fully adopted IFRS for financial reporting. This collection of standards is the technical bible for accountants in Riyadh. Whether preparing financial statements for a local SME or a multinational corporation headquartered in the King Abdullah Financial District, adherence to IFRS is non-negotiable. This resource provides the detailed guidance on revenue recognition, lease accounting, and financial instruments that accountants must apply daily to ensure comparability and transparency in the Saudi market.</w:t>
      </w:r>
    </w:p>
    <w:bookmarkEnd w:id="22"/>
    <w:bookmarkStart w:id="23" w:name="market-analysis-and-economic-context"/>
    <w:p>
      <w:pPr>
        <w:pStyle w:val="Heading2"/>
      </w:pPr>
      <w:r>
        <w:t xml:space="preserve">Market Analysis and Economic Context</w:t>
      </w:r>
    </w:p>
    <w:p>
      <w:pPr>
        <w:pStyle w:val="FirstParagraph"/>
      </w:pPr>
      <w:r>
        <w:t xml:space="preserve"> </w:t>
      </w:r>
      <w:r>
        <w:t xml:space="preserve">PwC Saudi Arabia. (2023).</w:t>
      </w:r>
      <w:r>
        <w:t xml:space="preserve"> </w:t>
      </w:r>
      <w:r>
        <w:rPr>
          <w:iCs/>
          <w:i/>
        </w:rPr>
        <w:t xml:space="preserve">Saudi Arabia Economic Outlook: Riyadh as the Business Capital</w:t>
      </w:r>
      <w:r>
        <w:t xml:space="preserve">. Riyadh: PricewaterhouseCoopers.</w:t>
      </w:r>
      <w:r>
        <w:t xml:space="preserve"> </w:t>
      </w:r>
    </w:p>
    <w:p>
      <w:pPr>
        <w:pStyle w:val="BodyText"/>
      </w:pPr>
      <w:r>
        <w:t xml:space="preserve">This industry report analyzes the economic trajectory of Riyadh, highlighting its status as the primary destination for investment in the Middle East. It provides valuable data for accountants regarding sector growth, particularly in technology, healthcare, and tourism. The report offers insights into the financial challenges and opportunities facing businesses in the region, helping accountants provide strategic advisory services beyond mere compliance. It is an excellent resource for understanding the commercial environment in which Riyadh-based accountants operate.</w:t>
      </w:r>
    </w:p>
    <w:p>
      <w:pPr>
        <w:pStyle w:val="BodyText"/>
      </w:pPr>
      <w:r>
        <w:t xml:space="preserve"> </w:t>
      </w:r>
      <w:r>
        <w:t xml:space="preserve">Deloitte. (2022).</w:t>
      </w:r>
      <w:r>
        <w:t xml:space="preserve"> </w:t>
      </w:r>
      <w:r>
        <w:rPr>
          <w:iCs/>
          <w:i/>
        </w:rPr>
        <w:t xml:space="preserve">The Future of Work for Accountants in the Gulf Cooperation Council</w:t>
      </w:r>
      <w:r>
        <w:t xml:space="preserve">. Dubai: Deloitte Middle East.</w:t>
      </w:r>
      <w:r>
        <w:t xml:space="preserve"> </w:t>
      </w:r>
    </w:p>
    <w:p>
      <w:pPr>
        <w:pStyle w:val="BodyText"/>
      </w:pPr>
      <w:r>
        <w:t xml:space="preserve">Although regional in scope, this publication offers specific insights into the evolving role of the accountant in Saudi Arabia. It discusses the impact of automation, artificial intelligence, and digital transformation on the profession. For accountants in Riyadh, a city rapidly modernizing its infrastructure and government services, this text is vital. It argues for a shift from traditional bookkeeping to strategic financial analysis, reflecting the high expectations of the Saudi market for value-added financial services.</w:t>
      </w:r>
    </w:p>
    <w:p>
      <w:pPr>
        <w:pStyle w:val="BodyText"/>
      </w:pPr>
      <w:r>
        <w:t xml:space="preserve"> </w:t>
      </w:r>
      <w:r>
        <w:t xml:space="preserve">World Bank. (2023).</w:t>
      </w:r>
      <w:r>
        <w:t xml:space="preserve"> </w:t>
      </w:r>
      <w:r>
        <w:rPr>
          <w:iCs/>
          <w:i/>
        </w:rPr>
        <w:t xml:space="preserve">Saudi Arabia Economic Monitor: Building a Diversified Economy</w:t>
      </w:r>
      <w:r>
        <w:t xml:space="preserve">. Washington, D.C.: World Bank Group.</w:t>
      </w:r>
      <w:r>
        <w:t xml:space="preserve"> </w:t>
      </w:r>
    </w:p>
    <w:p>
      <w:pPr>
        <w:pStyle w:val="BodyText"/>
      </w:pPr>
      <w:r>
        <w:t xml:space="preserve">This report provides an external, objective analysis of the Kingdom's economic reforms. It details the progress of fiscal consolidation and the implementation of new tax regimes. For an accountant in Riyadh, this document offers a broader perspective on how global economic trends intersect with local policy. It helps professionals anticipate regulatory changes and understand the long-term financial health of the economy in which they serve their clients.</w:t>
      </w:r>
    </w:p>
    <w:bookmarkEnd w:id="23"/>
    <w:bookmarkStart w:id="24" w:name="conclusion"/>
    <w:p>
      <w:pPr>
        <w:pStyle w:val="Heading2"/>
      </w:pPr>
      <w:r>
        <w:t xml:space="preserve">Conclusion</w:t>
      </w:r>
    </w:p>
    <w:p>
      <w:pPr>
        <w:pStyle w:val="FirstParagraph"/>
      </w:pPr>
      <w:r>
        <w:t xml:space="preserve">The profession of the accountant in Riyadh, Saudi Arabia, is undergoing a significant transformation driven by regulatory modernization and economic diversification. The resources listed above provide a comprehensive foundation for understanding the legal, ethical, and economic dimensions of this role. From the specific tax laws enforced by GAZT to the strategic goals of Vision 2030, these documents illustrate that the modern accountant in Riyadh is not merely a recorder of transactions, but a key strategic partner in the Kingdom's economic future.</w:t>
      </w:r>
    </w:p>
    <w:bookmarkEnd w:id="24"/>
    <w:p>
      <w:pPr>
        <w:pStyle w:val="BodyText"/>
      </w:pPr>
      <w:r>
        <w:t xml:space="preserve">© 2023 Annotated Bibliography on Accounting in Riyadh.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Riyadh, Saudi Arabia</dc:title>
  <dc:creator/>
  <dc:language>en</dc:language>
  <cp:keywords/>
  <dcterms:created xsi:type="dcterms:W3CDTF">2026-08-07T02:15:32Z</dcterms:created>
  <dcterms:modified xsi:type="dcterms:W3CDTF">2026-08-07T02:15:32Z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