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d8b712eed9bc0b420a523f1fd1b6e5abcf70ac5"/>
    <w:p>
      <w:pPr>
        <w:pStyle w:val="Heading1"/>
      </w:pPr>
      <w:r>
        <w:t xml:space="preserve">Annotated Bibliography: The Role of the Accountant in Birmingham, United Kingdom</w:t>
      </w:r>
    </w:p>
    <w:p>
      <w:pPr>
        <w:pStyle w:val="FirstParagraph"/>
      </w:pPr>
      <w:r>
        <w:t xml:space="preserve">This annotated bibliography provides a comprehensive overview of the professional landscape for accountants operating within Birmingham, United Kingdom. As the second-largest city in the UK and a major economic hub in the Midlands, Birmingham presents unique opportunities and challenges for financial professionals. The following sources examine regulatory frameworks, local economic drivers, technological integration, and the specific demands placed on accountants serving Birmingham's diverse business community.</w:t>
      </w:r>
    </w:p>
    <w:p>
      <w:pPr>
        <w:pStyle w:val="BodyText"/>
      </w:pPr>
      <w:r>
        <w:t xml:space="preserve">Institute of Chartered Accountants in England and Wales (ICAEW). (2023).</w:t>
      </w:r>
      <w:r>
        <w:t xml:space="preserve"> </w:t>
      </w:r>
      <w:r>
        <w:rPr>
          <w:iCs/>
          <w:i/>
        </w:rPr>
        <w:t xml:space="preserve">Chartered Accountancy in the UK: Professional Standards and Ethical Guidelines</w:t>
      </w:r>
      <w:r>
        <w:t xml:space="preserve">. London: ICAEW Publishing.</w:t>
      </w:r>
    </w:p>
    <w:p>
      <w:pPr>
        <w:pStyle w:val="BodyText"/>
      </w:pPr>
      <w:r>
        <w:t xml:space="preserve">This foundational text outlines the rigorous standards required of chartered accountants across the United Kingdom. For an accountant based in Birmingham, this resource is critical for understanding the legal and ethical obligations imposed by the ICAEW. The document details the Code of Ethics, which governs professional behavior, confidentiality, and independence. Given Birmingham's status as a growing financial center, adherence to these national standards is paramount for maintaining client trust and regulatory compliance. The text also highlights continuing professional development (CPD) requirements, ensuring that accountants in the Midlands remain current with evolving financial regulations.</w:t>
      </w:r>
    </w:p>
    <w:p>
      <w:pPr>
        <w:pStyle w:val="BodyText"/>
      </w:pPr>
      <w:r>
        <w:t xml:space="preserve">Birmingham City Council. (2022).</w:t>
      </w:r>
      <w:r>
        <w:t xml:space="preserve"> </w:t>
      </w:r>
      <w:r>
        <w:rPr>
          <w:iCs/>
          <w:i/>
        </w:rPr>
        <w:t xml:space="preserve">Birmingham Economic Strategy 2022-2030: Growth and Investment in the Midlands</w:t>
      </w:r>
      <w:r>
        <w:t xml:space="preserve">. Birmingham: City of Birmingham.</w:t>
      </w:r>
    </w:p>
    <w:p>
      <w:pPr>
        <w:pStyle w:val="BodyText"/>
      </w:pPr>
      <w:r>
        <w:t xml:space="preserve">This strategic report provides essential context for accountants advising businesses in Birmingham. It outlines the city's economic priorities, including the development of the HS2 transport hub, the expansion of the digital sector, and the revitalization of the city center. Accountants in Birmingham must understand these macroeconomic factors to provide strategic financial advice to local enterprises. The report highlights sectors where investment is flowing, allowing accountants to tailor their services to industries such as construction, technology, and logistics. Furthermore, it discusses local government incentives and grants, which are vital tools for accountants assisting small and medium-sized enterprises (SMEs) in the region.</w:t>
      </w:r>
    </w:p>
    <w:p>
      <w:pPr>
        <w:pStyle w:val="BodyText"/>
      </w:pPr>
      <w:r>
        <w:t xml:space="preserve">HM Revenue and Customs (HMRC). (2023).</w:t>
      </w:r>
      <w:r>
        <w:t xml:space="preserve"> </w:t>
      </w:r>
      <w:r>
        <w:rPr>
          <w:iCs/>
          <w:i/>
        </w:rPr>
        <w:t xml:space="preserve">Corporation Tax and VAT Guidelines for UK Businesses</w:t>
      </w:r>
      <w:r>
        <w:t xml:space="preserve">. London: HMRC.</w:t>
      </w:r>
    </w:p>
    <w:p>
      <w:pPr>
        <w:pStyle w:val="BodyText"/>
      </w:pPr>
      <w:r>
        <w:t xml:space="preserve">As the primary tax authority in the United Kingdom, HMRC's guidelines are indispensable for any accountant practicing in Birmingham. This document details the current rates and regulations for Corporation Tax and Value Added Tax (VAT). For accountants in Birmingham, a city with a high density of SMEs and startups, accurate interpretation of these rules is crucial. The text covers recent changes in tax law, including digital services taxes and environmental levies, which are increasingly relevant to Birmingham's industrial and commercial sectors. Understanding these guidelines enables accountants to optimize tax positions for their clients while ensuring full compliance with national legislation.</w:t>
      </w:r>
    </w:p>
    <w:p>
      <w:pPr>
        <w:pStyle w:val="BodyText"/>
      </w:pPr>
      <w:r>
        <w:t xml:space="preserve">Association of Chartered Certified Accountants (ACCA). (2023).</w:t>
      </w:r>
      <w:r>
        <w:t xml:space="preserve"> </w:t>
      </w:r>
      <w:r>
        <w:rPr>
          <w:iCs/>
          <w:i/>
        </w:rPr>
        <w:t xml:space="preserve">The Future of Accounting: Technology and Automation in the UK</w:t>
      </w:r>
      <w:r>
        <w:t xml:space="preserve">. Glasgow: ACCA.</w:t>
      </w:r>
    </w:p>
    <w:p>
      <w:pPr>
        <w:pStyle w:val="BodyText"/>
      </w:pPr>
      <w:r>
        <w:t xml:space="preserve">This report explores the impact of artificial intelligence, cloud computing, and automation on the accounting profession in the United Kingdom. For accountants in Birmingham, a city rapidly modernizing its business infrastructure, this resource is highly relevant. It argues that the role of the accountant is shifting from data entry to strategic advisory. The text provides case studies of UK firms adopting new technologies, offering practical insights for Birmingham-based practices looking to enhance efficiency. It also addresses the skills gap, suggesting that accountants in the Midlands must upskill in data analytics to remain competitive in a digital economy.</w:t>
      </w:r>
    </w:p>
    <w:p>
      <w:pPr>
        <w:pStyle w:val="BodyText"/>
      </w:pPr>
      <w:r>
        <w:t xml:space="preserve">University of Birmingham, School of Business. (2021).</w:t>
      </w:r>
      <w:r>
        <w:t xml:space="preserve"> </w:t>
      </w:r>
      <w:r>
        <w:rPr>
          <w:iCs/>
          <w:i/>
        </w:rPr>
        <w:t xml:space="preserve">Financial Management in the Midlands: Challenges and Opportunities for SMEs</w:t>
      </w:r>
      <w:r>
        <w:t xml:space="preserve">. Birmingham: University of Birmingham Press.</w:t>
      </w:r>
    </w:p>
    <w:p>
      <w:pPr>
        <w:pStyle w:val="BodyText"/>
      </w:pPr>
      <w:r>
        <w:t xml:space="preserve">This academic study focuses specifically on the financial health of small and medium-sized enterprises in the Midlands region, with a significant focus on Birmingham. It identifies common financial challenges faced by local businesses, such as cash flow management, access to credit, and supply chain disruptions. For accountants in Birmingham, this research offers valuable insights into the specific needs of their client base. The study recommends tailored financial strategies that accountants can implement to support local economic resilience. It also highlights the importance of regional networking and collaboration, suggesting that accountants play a key role in connecting businesses with financial resources.</w:t>
      </w:r>
    </w:p>
    <w:p>
      <w:pPr>
        <w:pStyle w:val="BodyText"/>
      </w:pPr>
      <w:r>
        <w:t xml:space="preserve">Financial Reporting Council (FRC). (2022).</w:t>
      </w:r>
      <w:r>
        <w:t xml:space="preserve"> </w:t>
      </w:r>
      <w:r>
        <w:rPr>
          <w:iCs/>
          <w:i/>
        </w:rPr>
        <w:t xml:space="preserve">Corporate Governance Code for UK Listed Companies</w:t>
      </w:r>
      <w:r>
        <w:t xml:space="preserve">. London: FRC.</w:t>
      </w:r>
    </w:p>
    <w:p>
      <w:pPr>
        <w:pStyle w:val="BodyText"/>
      </w:pPr>
      <w:r>
        <w:t xml:space="preserve">This document sets out the principles and provisions of corporate governance for companies listed on the London Stock Exchange, many of which have significant operations in Birmingham. Accountants in Birmingham who work with larger corporations or those planning to go public must be well-versed in these guidelines. The code emphasizes transparency, accountability, and the role of auditors in ensuring financial integrity. It provides a framework for accountants to advise boards on governance structures and risk management. Understanding this code is essential for accountants in the UK's second city, as Birmingham hosts numerous regional headquarters and large-scale industrial firms subject to these standards.</w:t>
      </w:r>
    </w:p>
    <w:p>
      <w:pPr>
        <w:pStyle w:val="BodyText"/>
      </w:pPr>
      <w:r>
        <w:t xml:space="preserve">Chartered Institute of Public Finance and Accountancy (CIPFA). (2023).</w:t>
      </w:r>
      <w:r>
        <w:t xml:space="preserve"> </w:t>
      </w:r>
      <w:r>
        <w:rPr>
          <w:iCs/>
          <w:i/>
        </w:rPr>
        <w:t xml:space="preserve">Public Sector Accounting in the UK: Best Practices and Standards</w:t>
      </w:r>
      <w:r>
        <w:t xml:space="preserve">. London: CIPFA.</w:t>
      </w:r>
    </w:p>
    <w:p>
      <w:pPr>
        <w:pStyle w:val="BodyText"/>
      </w:pPr>
      <w:r>
        <w:t xml:space="preserve">This resource is tailored to accountants working in the public sector, including local government bodies in Birmingham. It outlines the standards for financial reporting, budgeting, and auditing within UK public institutions. For accountants employed by Birmingham City Council or related agencies, this text is a critical reference for ensuring compliance with public finance regulations. It discusses the challenges of managing public funds, delivering value for money, and maintaining transparency. The document also covers recent reforms in local government finance, which are particularly relevant given the ongoing changes in how UK cities are funded and managed.</w:t>
      </w:r>
    </w:p>
    <w:p>
      <w:pPr>
        <w:pStyle w:val="BodyText"/>
      </w:pPr>
      <w:r>
        <w:t xml:space="preserve">British Chambers of Commerce (BCC). (2023).</w:t>
      </w:r>
      <w:r>
        <w:t xml:space="preserve"> </w:t>
      </w:r>
      <w:r>
        <w:rPr>
          <w:iCs/>
          <w:i/>
        </w:rPr>
        <w:t xml:space="preserve">Business Confidence and Economic Outlook in the West Midlands</w:t>
      </w:r>
      <w:r>
        <w:t xml:space="preserve">. London: BCC.</w:t>
      </w:r>
    </w:p>
    <w:p>
      <w:pPr>
        <w:pStyle w:val="BodyText"/>
      </w:pPr>
      <w:r>
        <w:t xml:space="preserve">This report provides a snapshot of business sentiment in the West Midlands, with a focus on Birmingham. It surveys local business leaders on their expectations for growth, investment, and employment. For accountants in Birmingham, this data is invaluable for understanding the economic climate in which their clients operate. The report highlights concerns about inflation, labor shortages, and regulatory burdens, all of which impact financial planning. Accountants can use these insights to advise clients on risk mitigation and strategic growth. The document also underscores the importance of regional advocacy, suggesting that accountants can play a role in shaping policy discussions that affect the local business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Birmingham, United Kingdom</dc:title>
  <dc:creator/>
  <dc:language>en</dc:language>
  <cp:keywords/>
  <dcterms:created xsi:type="dcterms:W3CDTF">2026-08-07T10:40:05Z</dcterms:created>
  <dcterms:modified xsi:type="dcterms:W3CDTF">2026-08-07T10:40:05Z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