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Xc2c593d7dd80203906b96909f48b610c1f3908c"/>
    <w:p>
      <w:pPr>
        <w:pStyle w:val="Heading1"/>
      </w:pPr>
      <w:r>
        <w:t xml:space="preserve">Annotated Bibliography: The Role of the Accountant in London, United Kingdom</w:t>
      </w:r>
    </w:p>
    <w:p>
      <w:pPr>
        <w:pStyle w:val="FirstParagraph"/>
      </w:pPr>
      <w:r>
        <w:t xml:space="preserve">This annotated bibliography provides a curated selection of resources examining the professional landscape, regulatory environment, and evolving responsibilities of the accountant within the specific context of London, United Kingdom. As the financial capital of the UK and a global hub for commerce, London presents unique challenges and opportunities for accounting professionals. The following entries cover regulatory frameworks established by the Institute of Chartered Accountants in England and Wales (ICAEW), the impact of Brexit on financial reporting, the integration of digital technologies in the City of London, and the ethical standards required in this high-stakes environment.</w:t>
      </w:r>
    </w:p>
    <w:bookmarkStart w:id="20" w:name="references"/>
    <w:p>
      <w:pPr>
        <w:pStyle w:val="Heading2"/>
      </w:pPr>
      <w:r>
        <w:t xml:space="preserve">References</w:t>
      </w:r>
    </w:p>
    <w:p>
      <w:pPr>
        <w:pStyle w:val="FirstParagraph"/>
      </w:pPr>
      <w:r>
        <w:t xml:space="preserve">Institute of Chartered Accountants in England and Wales (ICAEW). (2023).</w:t>
      </w:r>
      <w:r>
        <w:t xml:space="preserve"> </w:t>
      </w:r>
      <w:r>
        <w:rPr>
          <w:iCs/>
          <w:i/>
        </w:rPr>
        <w:t xml:space="preserve">The Future of Accounting: Trends and Skills for the Next Decade</w:t>
      </w:r>
      <w:r>
        <w:t xml:space="preserve">. London: ICAEW Publishing.</w:t>
      </w:r>
    </w:p>
    <w:p>
      <w:pPr>
        <w:pStyle w:val="BodyText"/>
      </w:pPr>
      <w:r>
        <w:t xml:space="preserve">This comprehensive report by the ICAEW, the primary professional body for accountants in England and Wales, outlines the shifting skill sets required for accountants operating in London. The document argues that the traditional role of the accountant in the UK is transitioning from historical data recording to strategic advisory. It specifically highlights the demand for data analytics and sustainability reporting within London's financial district. This source is essential for understanding the professional development trajectory expected of accountants in the UK capital, emphasizing that technical accounting knowledge must now be paired with digital fluency to remain competitive in the London job market.</w:t>
      </w:r>
    </w:p>
    <w:p>
      <w:pPr>
        <w:pStyle w:val="BodyText"/>
      </w:pPr>
      <w:r>
        <w:t xml:space="preserve">Financial Reporting Council (FRC). (2022).</w:t>
      </w:r>
      <w:r>
        <w:t xml:space="preserve"> </w:t>
      </w:r>
      <w:r>
        <w:rPr>
          <w:iCs/>
          <w:i/>
        </w:rPr>
        <w:t xml:space="preserve">UK Corporate Governance Code: Principles and Provisions</w:t>
      </w:r>
      <w:r>
        <w:t xml:space="preserve">. London: FRC.</w:t>
      </w:r>
    </w:p>
    <w:p>
      <w:pPr>
        <w:pStyle w:val="BodyText"/>
      </w:pPr>
      <w:r>
        <w:t xml:space="preserve">The Financial Reporting Council (FRC) is the independent regulator responsible for promoting high quality corporate governance and reporting to foster investment. This document is critical for any accountant working with publicly listed companies in London. It details the rigorous standards of transparency and accountability that UK accountants must uphold. The annotation highlights that adherence to this code is not merely a legal requirement but a cornerstone of trust in the London financial ecosystem. For an accountant in the United Kingdom, mastery of these governance principles is mandatory for ensuring compliance and mitigating risk in corporate environments.</w:t>
      </w:r>
    </w:p>
    <w:p>
      <w:pPr>
        <w:pStyle w:val="BodyText"/>
      </w:pPr>
      <w:r>
        <w:t xml:space="preserve">HM Revenue &amp; Customs (HMRC). (2023).</w:t>
      </w:r>
      <w:r>
        <w:t xml:space="preserve"> </w:t>
      </w:r>
      <w:r>
        <w:rPr>
          <w:iCs/>
          <w:i/>
        </w:rPr>
        <w:t xml:space="preserve">Making Tax Digital for Business: A Guide for Accountants</w:t>
      </w:r>
      <w:r>
        <w:t xml:space="preserve">. London: HM Government.</w:t>
      </w:r>
    </w:p>
    <w:p>
      <w:pPr>
        <w:pStyle w:val="BodyText"/>
      </w:pPr>
      <w:r>
        <w:t xml:space="preserve">This government publication details the "Making Tax Digital" (MTD) initiative, a transformative policy affecting how accountants in the UK manage tax records. The guide explains the mandatory use of digital software for VAT and income tax reporting. For accountants in London, where the volume of transactions is immense, this resource is vital for operational compliance. It illustrates the UK government's push toward modernization and how accountants must adapt their workflows to integrate with HMRC's digital infrastructure. Failure to comply with MTD regulations can result in significant penalties, making this a practical and necessary reference for UK-based practitioners.</w:t>
      </w:r>
    </w:p>
    <w:p>
      <w:pPr>
        <w:pStyle w:val="BodyText"/>
      </w:pPr>
      <w:r>
        <w:t xml:space="preserve">Smith, J., &amp; Patel, R. (2021).</w:t>
      </w:r>
      <w:r>
        <w:t xml:space="preserve"> </w:t>
      </w:r>
      <w:r>
        <w:rPr>
          <w:iCs/>
          <w:i/>
        </w:rPr>
        <w:t xml:space="preserve">Post-Brexit Financial Regulation: Implications for London Accountants</w:t>
      </w:r>
      <w:r>
        <w:t xml:space="preserve">. Journal of UK Financial Law, 15(3), 45-62.</w:t>
      </w:r>
    </w:p>
    <w:p>
      <w:pPr>
        <w:pStyle w:val="BodyText"/>
      </w:pPr>
      <w:r>
        <w:t xml:space="preserve">This academic article analyzes the regulatory divergence between the United Kingdom and the European Union following Brexit. It specifically examines how London-based accountants must now navigate a dual landscape of UK GAAP and international standards, particularly when dealing with cross-border clients. The authors argue that the accountant's role in London has become more complex due to the need for enhanced due diligence and understanding of new trade barriers. This source is highly relevant for understanding the geopolitical impact on the accounting profession in the UK, providing insight into the strategic adjustments required for firms operating in the City of London.</w:t>
      </w:r>
    </w:p>
    <w:p>
      <w:pPr>
        <w:pStyle w:val="BodyText"/>
      </w:pPr>
      <w:r>
        <w:t xml:space="preserve">Deloitte UK. (2023).</w:t>
      </w:r>
      <w:r>
        <w:t xml:space="preserve"> </w:t>
      </w:r>
      <w:r>
        <w:rPr>
          <w:iCs/>
          <w:i/>
        </w:rPr>
        <w:t xml:space="preserve">London Economic Outlook: The Role of Professional Services</w:t>
      </w:r>
      <w:r>
        <w:t xml:space="preserve">. London: Deloitte.</w:t>
      </w:r>
    </w:p>
    <w:p>
      <w:pPr>
        <w:pStyle w:val="BodyText"/>
      </w:pPr>
      <w:r>
        <w:t xml:space="preserve">Deloitte, one of the "Big Four" accounting firms with a massive presence in London, publishes this annual outlook to assess the economic climate. The report highlights the resilience of the London financial sector and the increasing demand for specialized accounting services in fintech and real estate. It provides valuable data on salary trends, recruitment challenges, and the competitive nature of the accounting market in the UK capital. This resource is useful for understanding the macroeconomic factors that influence the demand for accountants in London, offering a business perspective on the profession's growth within the United Kingdom.</w:t>
      </w:r>
    </w:p>
    <w:p>
      <w:pPr>
        <w:pStyle w:val="BodyText"/>
      </w:pPr>
      <w:r>
        <w:t xml:space="preserve">Institute of Chartered Accountants in England and Wales (ICAEW). (2022).</w:t>
      </w:r>
      <w:r>
        <w:t xml:space="preserve"> </w:t>
      </w:r>
      <w:r>
        <w:rPr>
          <w:iCs/>
          <w:i/>
        </w:rPr>
        <w:t xml:space="preserve">Code of Ethics for Professional Accountants</w:t>
      </w:r>
      <w:r>
        <w:t xml:space="preserve">. London: ICAEW.</w:t>
      </w:r>
    </w:p>
    <w:p>
      <w:pPr>
        <w:pStyle w:val="BodyText"/>
      </w:pPr>
      <w:r>
        <w:t xml:space="preserve">Ethics are paramount in the accounting profession, and this code sets the standard for professional behavior in the UK. It covers fundamental principles such as integrity, objectivity, professional competence, confidentiality, and professional behavior. For an accountant in London, where high-value transactions and sensitive corporate data are commonplace, adherence to this code is non-negotiable. The document provides case studies relevant to the UK context, helping accountants navigate ethical dilemmas. It serves as a foundational text for maintaining public trust and professional reputation in the United Kingdom's financial sector.</w:t>
      </w:r>
    </w:p>
    <w:p>
      <w:pPr>
        <w:pStyle w:val="BodyText"/>
      </w:pPr>
      <w:r>
        <w:t xml:space="preserve">Green, A. (2023).</w:t>
      </w:r>
      <w:r>
        <w:t xml:space="preserve"> </w:t>
      </w:r>
      <w:r>
        <w:rPr>
          <w:iCs/>
          <w:i/>
        </w:rPr>
        <w:t xml:space="preserve">Sustainability Reporting in the UK: A Guide for Accountants</w:t>
      </w:r>
      <w:r>
        <w:t xml:space="preserve">. London: Kogan Page.</w:t>
      </w:r>
    </w:p>
    <w:p>
      <w:pPr>
        <w:pStyle w:val="BodyText"/>
      </w:pPr>
      <w:r>
        <w:t xml:space="preserve">As environmental, social, and governance (ESG) criteria become central to investment decisions in London, this book addresses the growing need for sustainability accounting. It explains the UK's mandatory climate-related financial disclosures and how accountants can integrate non-financial metrics into traditional reporting. This resource is crucial for accountants in the United Kingdom who are tasked with helping organizations meet their net-zero commitments. It bridges the gap between traditional financial accounting and the emerging field of sustainability reporting, a key area of growth for the profession in London.</w:t>
      </w:r>
    </w:p>
    <w:p>
      <w:pPr>
        <w:pStyle w:val="BodyText"/>
      </w:pPr>
      <w:r>
        <w:t xml:space="preserve">Bank of England. (2022).</w:t>
      </w:r>
      <w:r>
        <w:t xml:space="preserve"> </w:t>
      </w:r>
      <w:r>
        <w:rPr>
          <w:iCs/>
          <w:i/>
        </w:rPr>
        <w:t xml:space="preserve">Financial Stability Report: Risks to the UK Financial System</w:t>
      </w:r>
      <w:r>
        <w:t xml:space="preserve">. London: Bank of England.</w:t>
      </w:r>
    </w:p>
    <w:p>
      <w:pPr>
        <w:pStyle w:val="BodyText"/>
      </w:pPr>
      <w:r>
        <w:t xml:space="preserve">While primarily a monetary policy document, the Bank of England's reports are vital for accountants in London who advise on financial risk and stability. The report outlines systemic risks, including inflation, housing market volatility, and global economic shifts, all of which impact financial planning and auditing in the UK. Understanding these macroeconomic indicators allows accountants in London to provide more accurate forecasts and risk assessments to their clients. This source underscores the interconnectedness of national economic policy and the day-to-day responsibilities of the accounting profession in the United Kingdom.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London, United Kingdom</dc:title>
  <dc:creator/>
  <dc:language>en</dc:language>
  <cp:keywords/>
  <dcterms:created xsi:type="dcterms:W3CDTF">2026-08-07T07:20:42Z</dcterms:created>
  <dcterms:modified xsi:type="dcterms:W3CDTF">2026-08-07T07:20:42Z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