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Accounting</w:t>
      </w:r>
      <w:r>
        <w:t xml:space="preserve"> </w:t>
      </w:r>
      <w:r>
        <w:t xml:space="preserve">Practices</w:t>
      </w:r>
      <w:r>
        <w:t xml:space="preserve"> </w:t>
      </w:r>
      <w:r>
        <w:t xml:space="preserve">in</w:t>
      </w:r>
      <w:r>
        <w:t xml:space="preserve"> </w:t>
      </w:r>
      <w:r>
        <w:t xml:space="preserve">Tashkent,</w:t>
      </w:r>
      <w:r>
        <w:t xml:space="preserve"> </w:t>
      </w:r>
      <w:r>
        <w:t xml:space="preserve">Uzbekistan</w:t>
      </w:r>
    </w:p>
    <w:bookmarkStart w:id="20" w:name="annotated-bibliography"/>
    <w:p>
      <w:pPr>
        <w:pStyle w:val="Heading1"/>
      </w:pPr>
      <w:r>
        <w:t xml:space="preserve">Annotated Bibliography</w:t>
      </w:r>
    </w:p>
    <w:p>
      <w:pPr>
        <w:pStyle w:val="FirstParagraph"/>
      </w:pPr>
      <w:r>
        <w:t xml:space="preserve">Professional Accounting Standards, Taxation, and Financial Management in Tashkent, Uzbekistan</w:t>
      </w:r>
    </w:p>
    <w:bookmarkEnd w:id="20"/>
    <w:bookmarkStart w:id="21" w:name="introduction"/>
    <w:p>
      <w:pPr>
        <w:pStyle w:val="Heading2"/>
      </w:pPr>
      <w:r>
        <w:t xml:space="preserve">Introduction</w:t>
      </w:r>
    </w:p>
    <w:p>
      <w:pPr>
        <w:pStyle w:val="FirstParagraph"/>
      </w:pPr>
      <w:r>
        <w:t xml:space="preserve">The economic landscape of Uzbekistan has undergone significant transformation over the past decade, driven by government-led reforms aimed at liberalizing the market and attracting foreign direct investment. As the capital city and economic hub, Tashkent serves as the primary center for these financial activities. For an accountant operating in Tashkent, the professional environment is defined by a complex transition from Soviet-era accounting practices to International Financial Reporting Standards (IFRS), alongside a rapidly evolving tax code.</w:t>
      </w:r>
    </w:p>
    <w:p>
      <w:pPr>
        <w:pStyle w:val="BodyText"/>
      </w:pPr>
      <w:r>
        <w:t xml:space="preserve">This annotated bibliography compiles essential resources regarding the role of the accountant in Uzbekistan. It covers regulatory frameworks, tax obligations specific to Tashkent-based enterprises, digitalization trends in financial reporting, and the ethical standards required by the Ministry of Finance. These sources are critical for professionals seeking to navigate the legal and operational requirements of financial management in the region.</w:t>
      </w:r>
    </w:p>
    <w:bookmarkEnd w:id="21"/>
    <w:bookmarkStart w:id="24" w:name="regulatory-framework-and-ifrs-adoption"/>
    <w:p>
      <w:pPr>
        <w:pStyle w:val="Heading2"/>
      </w:pPr>
      <w:r>
        <w:t xml:space="preserve">Regulatory Framework and IFRS Adoption</w:t>
      </w:r>
    </w:p>
    <w:bookmarkStart w:id="22" w:name="X64996aa936b97a0008d8483d50fc1b910f6fd90"/>
    <w:p>
      <w:pPr>
        <w:pStyle w:val="Heading3"/>
      </w:pPr>
      <w:r>
        <w:t xml:space="preserve">1. The Ministry of Finance of the Republic of Uzbekistan</w:t>
      </w:r>
    </w:p>
    <w:p>
      <w:pPr>
        <w:pStyle w:val="FirstParagraph"/>
      </w:pPr>
      <w:r>
        <w:t xml:space="preserve">Ministry of Finance of the Republic of Uzbekistan. (2023).</w:t>
      </w:r>
      <w:r>
        <w:t xml:space="preserve"> </w:t>
      </w:r>
      <w:r>
        <w:rPr>
          <w:iCs/>
          <w:i/>
        </w:rPr>
        <w:t xml:space="preserve">Order on the Approval of the Procedure for the Application of International Financial Reporting Standards</w:t>
      </w:r>
      <w:r>
        <w:t xml:space="preserve">. Tashkent: Ministry of Finance.</w:t>
      </w:r>
    </w:p>
    <w:p>
      <w:pPr>
        <w:pStyle w:val="BodyText"/>
      </w:pPr>
      <w:r>
        <w:t xml:space="preserve">This official government decree is the cornerstone document for any accountant working in Uzbekistan. It outlines the mandatory timeline and specific requirements for the adoption of IFRS by large enterprises and financial institutions. For accountants in Tashkent, this document is vital as it details the reconciliation processes required between local accounting standards and international norms. The text provides specific guidance on asset valuation, revenue recognition, and financial statement presentation. Understanding this order is essential for compliance, as non-adherence can result in significant penalties from state regulatory bodies. It serves as the primary reference for ensuring that financial reporting in Tashkent meets global transparency standards.</w:t>
      </w:r>
    </w:p>
    <w:bookmarkEnd w:id="22"/>
    <w:bookmarkStart w:id="23" w:name="X2181022382b86c0f5953d1e8b5879e86672e710"/>
    <w:p>
      <w:pPr>
        <w:pStyle w:val="Heading3"/>
      </w:pPr>
      <w:r>
        <w:t xml:space="preserve">2. The Chamber of Certified Public Accountants of Uzbekistan</w:t>
      </w:r>
    </w:p>
    <w:p>
      <w:pPr>
        <w:pStyle w:val="FirstParagraph"/>
      </w:pPr>
      <w:r>
        <w:t xml:space="preserve">Chamber of Certified Public Accountants of Uzbekistan. (2022).</w:t>
      </w:r>
      <w:r>
        <w:t xml:space="preserve"> </w:t>
      </w:r>
      <w:r>
        <w:rPr>
          <w:iCs/>
          <w:i/>
        </w:rPr>
        <w:t xml:space="preserve">Code of Ethics and Professional Conduct for Accountants in Uzbekistan</w:t>
      </w:r>
      <w:r>
        <w:t xml:space="preserve">. Tashkent: CCPU.</w:t>
      </w:r>
    </w:p>
    <w:p>
      <w:pPr>
        <w:pStyle w:val="BodyText"/>
      </w:pPr>
      <w:r>
        <w:t xml:space="preserve">As the professional body governing the accounting profession, the Chamber of Certified Public Accountants (CCPU) issues this code to regulate the behavior of practitioners. This resource is particularly relevant for accountants in Tashkent, where the concentration of multinational corporations and auditing firms is highest. The document addresses conflicts of interest, confidentiality, and professional competence. It highlights the shift in the accountant's role from mere bookkeeping to strategic advisory. For professionals in the capital, adherence to this code is not only a regulatory requirement but also a marker of professional credibility in a competitive job market.</w:t>
      </w:r>
    </w:p>
    <w:bookmarkEnd w:id="23"/>
    <w:bookmarkEnd w:id="24"/>
    <w:bookmarkStart w:id="27" w:name="taxation-and-fiscal-policy"/>
    <w:p>
      <w:pPr>
        <w:pStyle w:val="Heading2"/>
      </w:pPr>
      <w:r>
        <w:t xml:space="preserve">Taxation and Fiscal Policy</w:t>
      </w:r>
    </w:p>
    <w:bookmarkStart w:id="25" w:name="Xad132390c221fb4385293f37294b7630055232c"/>
    <w:p>
      <w:pPr>
        <w:pStyle w:val="Heading3"/>
      </w:pPr>
      <w:r>
        <w:t xml:space="preserve">3. The Tax Code of the Republic of Uzbekistan</w:t>
      </w:r>
    </w:p>
    <w:p>
      <w:pPr>
        <w:pStyle w:val="FirstParagraph"/>
      </w:pPr>
      <w:r>
        <w:t xml:space="preserve">Legislative Palace of the Republic of Uzbekistan. (2023).</w:t>
      </w:r>
      <w:r>
        <w:t xml:space="preserve"> </w:t>
      </w:r>
      <w:r>
        <w:rPr>
          <w:iCs/>
          <w:i/>
        </w:rPr>
        <w:t xml:space="preserve">The Tax Code of the Republic of Uzbekistan</w:t>
      </w:r>
      <w:r>
        <w:t xml:space="preserve">. Tashkent: Legislative Palace.</w:t>
      </w:r>
    </w:p>
    <w:p>
      <w:pPr>
        <w:pStyle w:val="BodyText"/>
      </w:pPr>
      <w:r>
        <w:t xml:space="preserve">The Tax Code is the definitive legal source for fiscal obligations in the country. For an accountant in Tashkent, this document is indispensable for calculating corporate income tax, value-added tax (VAT), and social security contributions. The code has seen frequent amendments to simplify the tax burden and encourage investment. This edition includes specific provisions regarding tax incentives for businesses operating in the Tashkent City special administrative district. Accountants must utilize this resource to ensure accurate tax filings and to advise clients on tax planning strategies that are compliant with current Uzbek law. It also details the procedures for tax audits, which are a common occurrence for businesses in the capital.</w:t>
      </w:r>
    </w:p>
    <w:bookmarkEnd w:id="25"/>
    <w:bookmarkStart w:id="26" w:name="X83c6854a861d9c41f4a54e624363d3072370471"/>
    <w:p>
      <w:pPr>
        <w:pStyle w:val="Heading3"/>
      </w:pPr>
      <w:r>
        <w:t xml:space="preserve">4. State Tax Committee of the Republic of Uzbekistan</w:t>
      </w:r>
    </w:p>
    <w:p>
      <w:pPr>
        <w:pStyle w:val="FirstParagraph"/>
      </w:pPr>
      <w:r>
        <w:t xml:space="preserve">State Tax Committee. (2023).</w:t>
      </w:r>
      <w:r>
        <w:t xml:space="preserve"> </w:t>
      </w:r>
      <w:r>
        <w:rPr>
          <w:iCs/>
          <w:i/>
        </w:rPr>
        <w:t xml:space="preserve">Methodological Recommendations on the Application of VAT in the Republic of Uzbekistan</w:t>
      </w:r>
      <w:r>
        <w:t xml:space="preserve">. Tashkent: State Tax Committee.</w:t>
      </w:r>
    </w:p>
    <w:p>
      <w:pPr>
        <w:pStyle w:val="BodyText"/>
      </w:pPr>
      <w:r>
        <w:t xml:space="preserve">Value-Added Tax (VAT) is a significant component of the revenue stream for the Uzbek government and a complex area for accountants. This methodological guide provides detailed instructions on how to apply VAT rates, handle exemptions, and manage input tax credits. For accountants in Tashkent, where trade and service sectors are robust, accurate VAT management is critical. The document clarifies ambiguities in the Tax Code regarding cross-border transactions and digital services. It serves as a practical manual for daily accounting operations, helping professionals avoid errors that could lead to fines or legal disputes with the tax authorities.</w:t>
      </w:r>
    </w:p>
    <w:bookmarkEnd w:id="26"/>
    <w:bookmarkEnd w:id="27"/>
    <w:bookmarkStart w:id="32" w:name="digitalization-and-economic-trends"/>
    <w:p>
      <w:pPr>
        <w:pStyle w:val="Heading2"/>
      </w:pPr>
      <w:r>
        <w:t xml:space="preserve">Digitalization and Economic Trends</w:t>
      </w:r>
    </w:p>
    <w:bookmarkStart w:id="28" w:name="world-bank-group"/>
    <w:p>
      <w:pPr>
        <w:pStyle w:val="Heading3"/>
      </w:pPr>
      <w:r>
        <w:t xml:space="preserve">5. World Bank Group</w:t>
      </w:r>
    </w:p>
    <w:p>
      <w:pPr>
        <w:pStyle w:val="FirstParagraph"/>
      </w:pPr>
      <w:r>
        <w:t xml:space="preserve">World Bank Group. (2022).</w:t>
      </w:r>
      <w:r>
        <w:t xml:space="preserve"> </w:t>
      </w:r>
      <w:r>
        <w:rPr>
          <w:iCs/>
          <w:i/>
        </w:rPr>
        <w:t xml:space="preserve">Uzbekistan Economic Update: Digitalization and Financial Inclusion</w:t>
      </w:r>
      <w:r>
        <w:t xml:space="preserve">. Washington, D.C.: World Bank.</w:t>
      </w:r>
    </w:p>
    <w:p>
      <w:pPr>
        <w:pStyle w:val="BodyText"/>
      </w:pPr>
      <w:r>
        <w:t xml:space="preserve">This report provides a macroeconomic perspective on the digital transformation of Uzbekistan's financial sector. It highlights the government's push for e-governance and digital tax administration, which directly impacts accountants in Tashkent. The document discusses the implementation of electronic invoicing systems and the integration of banking data with tax authorities. For the modern accountant, this resource is crucial for understanding the technological tools required to remain efficient. It underscores the necessity for accountants to be proficient in digital accounting software and to adapt to real-time reporting requirements mandated by the state.</w:t>
      </w:r>
    </w:p>
    <w:bookmarkEnd w:id="28"/>
    <w:bookmarkStart w:id="29" w:name="international-monetary-fund-imf"/>
    <w:p>
      <w:pPr>
        <w:pStyle w:val="Heading3"/>
      </w:pPr>
      <w:r>
        <w:t xml:space="preserve">6. International Monetary Fund (IMF)</w:t>
      </w:r>
    </w:p>
    <w:p>
      <w:pPr>
        <w:pStyle w:val="FirstParagraph"/>
      </w:pPr>
      <w:r>
        <w:t xml:space="preserve">International Monetary Fund. (2023).</w:t>
      </w:r>
      <w:r>
        <w:t xml:space="preserve"> </w:t>
      </w:r>
      <w:r>
        <w:rPr>
          <w:iCs/>
          <w:i/>
        </w:rPr>
        <w:t xml:space="preserve">Uzbekistan: 2023 Article IV Consultation</w:t>
      </w:r>
      <w:r>
        <w:t xml:space="preserve">. Washington, D.C.: IMF.</w:t>
      </w:r>
    </w:p>
    <w:p>
      <w:pPr>
        <w:pStyle w:val="BodyText"/>
      </w:pPr>
      <w:r>
        <w:t xml:space="preserve">The IMF's Article IV consultation offers an independent assessment of Uzbekistan's economic policies, including fiscal governance and public financial management. This document is valuable for accountants in Tashkent who work with government entities or large state-owned enterprises. It provides insights into future policy directions, such as public procurement reforms and budget transparency initiatives. By understanding these broader economic trends, accountants can better anticipate regulatory changes and advise their organizations on long-term financial stability. The report also emphasizes the importance of strengthening the capacity of the accounting profession to support sustainable economic growth.</w:t>
      </w:r>
    </w:p>
    <w:bookmarkEnd w:id="29"/>
    <w:bookmarkStart w:id="30" w:name="X88dd9a404bc976e82189c94da2feaa3a8ae0201"/>
    <w:p>
      <w:pPr>
        <w:pStyle w:val="Heading3"/>
      </w:pPr>
      <w:r>
        <w:t xml:space="preserve">7. Central Bank of the Republic of Uzbekistan</w:t>
      </w:r>
    </w:p>
    <w:p>
      <w:pPr>
        <w:pStyle w:val="FirstParagraph"/>
      </w:pPr>
      <w:r>
        <w:t xml:space="preserve">Central Bank of the Republic of Uzbekistan. (2023).</w:t>
      </w:r>
      <w:r>
        <w:t xml:space="preserve"> </w:t>
      </w:r>
      <w:r>
        <w:rPr>
          <w:iCs/>
          <w:i/>
        </w:rPr>
        <w:t xml:space="preserve">Regulation on Foreign Currency Operations and Exchange Rate Mechanisms</w:t>
      </w:r>
      <w:r>
        <w:t xml:space="preserve">. Tashkent: Central Bank.</w:t>
      </w:r>
    </w:p>
    <w:p>
      <w:pPr>
        <w:pStyle w:val="BodyText"/>
      </w:pPr>
      <w:r>
        <w:t xml:space="preserve">With the liberalization of the currency market, foreign exchange operations have become a critical aspect of accounting in Tashkent. This regulation outlines the rules for currency conversion, repatriation of profits, and hedging against exchange rate risks. For accountants dealing with international trade or foreign investors, this document is essential for ensuring compliance with currency controls. It provides clarity on how to record foreign currency transactions in financial statements and manage the associated risks. Understanding these regulations is vital for maintaining the financial health of businesses operating in a globalized economy.</w:t>
      </w:r>
    </w:p>
    <w:bookmarkEnd w:id="30"/>
    <w:bookmarkStart w:id="31" w:name="tashkent-city-executive-committee"/>
    <w:p>
      <w:pPr>
        <w:pStyle w:val="Heading3"/>
      </w:pPr>
      <w:r>
        <w:t xml:space="preserve">8. Tashkent City Executive Committee</w:t>
      </w:r>
    </w:p>
    <w:p>
      <w:pPr>
        <w:pStyle w:val="FirstParagraph"/>
      </w:pPr>
      <w:r>
        <w:t xml:space="preserve">Tashkent City Executive Committee. (2023).</w:t>
      </w:r>
      <w:r>
        <w:t xml:space="preserve"> </w:t>
      </w:r>
      <w:r>
        <w:rPr>
          <w:iCs/>
          <w:i/>
        </w:rPr>
        <w:t xml:space="preserve">Investment Incentives and Administrative Procedures for Businesses in Tashkent City</w:t>
      </w:r>
      <w:r>
        <w:t xml:space="preserve">. Tashkent: Tashkent City Administration.</w:t>
      </w:r>
    </w:p>
    <w:p>
      <w:pPr>
        <w:pStyle w:val="BodyText"/>
      </w:pPr>
      <w:r>
        <w:t xml:space="preserve">Tashkent City is a special administrative district within the capital that offers unique benefits to investors. This document details the specific tax holidays, reduced social contributions, and simplified administrative procedures available to businesses registered in this zone. For accountants advising clients on location strategy or expansion, this resource is invaluable. It highlights the differences in fiscal treatment between Tashkent City and the rest of the country. Accountants must be well-versed in these local incentives to optimize the financial performance of their clients and to ensure that all eligibility criteria are met and documented correctly.</w:t>
      </w:r>
    </w:p>
    <w:bookmarkEnd w:id="31"/>
    <w:p>
      <w:pPr>
        <w:pStyle w:val="BodyText"/>
      </w:pPr>
      <w:r>
        <w:t xml:space="preserve">© 2023 Annotated Bibliography for Accounting Professionals in Uzbekistan.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Accounting Practices in Tashkent, Uzbekistan</dc:title>
  <dc:creator/>
  <dc:language>en</dc:language>
  <cp:keywords/>
  <dcterms:created xsi:type="dcterms:W3CDTF">2026-08-07T10:04:58Z</dcterms:created>
  <dcterms:modified xsi:type="dcterms:W3CDTF">2026-08-07T10:04:58Z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