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Venezuela</w:t>
      </w:r>
      <w:r>
        <w:t xml:space="preserve"> </w:t>
      </w:r>
      <w:r>
        <w:t xml:space="preserve">Caracas</w:t>
      </w:r>
    </w:p>
    <w:bookmarkStart w:id="23" w:name="Xb65c756b6498301019d5cf7786746656484be44"/>
    <w:p>
      <w:pPr>
        <w:pStyle w:val="Heading1"/>
      </w:pPr>
      <w:r>
        <w:t xml:space="preserve">Annotated Bibliography: The Role of the Accountant in Venezuela Caracas</w:t>
      </w:r>
    </w:p>
    <w:p>
      <w:pPr>
        <w:pStyle w:val="FirstParagraph"/>
      </w:pPr>
      <w:r>
        <w:t xml:space="preserve">The following annotated bibliography compiles key resources regarding the profession of the accountant within the specific economic and regulatory context of Venezuela, with a particular focus on the capital city, Caracas. This collection addresses the unique challenges posed by hyperinflation, currency controls, and the dual-currency reality that defines financial management in the region.</w:t>
      </w:r>
    </w:p>
    <w:bookmarkStart w:id="20" w:name="introduction"/>
    <w:p>
      <w:pPr>
        <w:pStyle w:val="Heading2"/>
      </w:pPr>
      <w:r>
        <w:t xml:space="preserve">Introduction</w:t>
      </w:r>
    </w:p>
    <w:p>
      <w:pPr>
        <w:pStyle w:val="FirstParagraph"/>
      </w:pPr>
      <w:r>
        <w:t xml:space="preserve">The accountant in Venezuela Caracas operates in one of the most volatile economic environments in the world. Unlike standard accounting practices found in stable economies, professionals here must navigate complex legal frameworks, including the Law on Foreign Exchange Administration and Control (SUCRE Law) and the Law on the Regulation of the Foreign Exchange Market. Furthermore, the implementation of the International Financial Reporting Standards (IFRS) in Venezuela requires significant adaptation due to the constant devaluation of the Bolivar. The resources selected below provide a comprehensive overview of these challenges, offering insights into tax compliance, inflation accounting, and the ethical responsibilities of the accountant in this specific locale.</w:t>
      </w:r>
    </w:p>
    <w:bookmarkEnd w:id="20"/>
    <w:bookmarkStart w:id="21" w:name="bibliography"/>
    <w:p>
      <w:pPr>
        <w:pStyle w:val="Heading2"/>
      </w:pPr>
      <w:r>
        <w:t xml:space="preserve">Bibliography</w:t>
      </w:r>
    </w:p>
    <w:p>
      <w:pPr>
        <w:pStyle w:val="FirstParagraph"/>
      </w:pPr>
      <w:r>
        <w:t xml:space="preserve">Consejo Normativo de Contabilidad (CNC). (2023).</w:t>
      </w:r>
      <w:r>
        <w:t xml:space="preserve"> </w:t>
      </w:r>
      <w:r>
        <w:rPr>
          <w:iCs/>
          <w:i/>
        </w:rPr>
        <w:t xml:space="preserve">Normas de Información Financiera (NIF) aplicables en Venezuela: Tratamiento de la Inflación.</w:t>
      </w:r>
      <w:r>
        <w:t xml:space="preserve"> </w:t>
      </w:r>
      <w:r>
        <w:t xml:space="preserve">Caracas: CNC.</w:t>
      </w:r>
    </w:p>
    <w:p>
      <w:pPr>
        <w:pStyle w:val="BodyText"/>
      </w:pPr>
      <w:r>
        <w:t xml:space="preserve">This official publication by the Venezuelan Accounting Standards Board is essential for any accountant practicing in Caracas. It details the mandatory application of IFRS within the Venezuelan legal framework, specifically focusing on the restatement of financial statements in hyperinflationary environments. The document explains how accountants must adjust historical costs to current purchasing power using the Consumer Price Index (IPC). For the accountant in Caracas, this resource is critical for ensuring that financial reports accurately reflect the economic reality of the business, despite the volatility of the local currency. It serves as the primary reference for compliance with national regulations regarding financial transparency.</w:t>
      </w:r>
    </w:p>
    <w:p>
      <w:pPr>
        <w:pStyle w:val="BodyText"/>
      </w:pPr>
      <w:r>
        <w:t xml:space="preserve">Rodríguez, M. A., &amp; Pérez, J. L. (2022).</w:t>
      </w:r>
      <w:r>
        <w:t xml:space="preserve"> </w:t>
      </w:r>
      <w:r>
        <w:rPr>
          <w:iCs/>
          <w:i/>
        </w:rPr>
        <w:t xml:space="preserve">Impuestos y Tributación en Venezuela: Guía Práctica para el Contador Moderno.</w:t>
      </w:r>
      <w:r>
        <w:t xml:space="preserve"> </w:t>
      </w:r>
      <w:r>
        <w:t xml:space="preserve">Caracas: Editorial Jurídica Venezolana.</w:t>
      </w:r>
    </w:p>
    <w:p>
      <w:pPr>
        <w:pStyle w:val="BodyText"/>
      </w:pPr>
      <w:r>
        <w:t xml:space="preserve">This comprehensive guide addresses the complex tax landscape in Venezuela, which is a daily challenge for accountants in Caracas. The authors analyze the Income Tax Law (ISLR), the Value Added Tax (IVA), and the Municipal Taxes that businesses in the capital must navigate. The text is particularly valuable because it updates the reader on recent legislative changes and the practical application of tax laws in a context where regulations are frequently amended. It provides strategies for tax planning and compliance, helping accountants minimize risks associated with audits by the National Service of Tax Administration (SENIAT). This book is a practical tool for understanding the fiscal obligations specific to the Venezuelan market.</w:t>
      </w:r>
    </w:p>
    <w:p>
      <w:pPr>
        <w:pStyle w:val="BodyText"/>
      </w:pPr>
      <w:r>
        <w:t xml:space="preserve">González, R. (2021).</w:t>
      </w:r>
      <w:r>
        <w:t xml:space="preserve"> </w:t>
      </w:r>
      <w:r>
        <w:rPr>
          <w:iCs/>
          <w:i/>
        </w:rPr>
        <w:t xml:space="preserve">Contabilidad en Entornos Hiperinflacionarios: El Caso de Venezuela.</w:t>
      </w:r>
      <w:r>
        <w:t xml:space="preserve"> </w:t>
      </w:r>
      <w:r>
        <w:rPr>
          <w:iCs/>
          <w:i/>
        </w:rPr>
        <w:t xml:space="preserve">Revista Venezolana de Contaduría y Auditoría</w:t>
      </w:r>
      <w:r>
        <w:t xml:space="preserve">, 25(1), 45-68.</w:t>
      </w:r>
    </w:p>
    <w:p>
      <w:pPr>
        <w:pStyle w:val="BodyText"/>
      </w:pPr>
      <w:r>
        <w:t xml:space="preserve">This academic article offers a deep theoretical and practical analysis of accounting practices in hyperinflationary economies, using Venezuela as a case study. González discusses the difficulties accountants in Caracas face when trying to maintain the relevance and reliability of financial information. The article highlights the gap between the official exchange rate and the parallel market rate, a phenomenon that significantly impacts the valuation of assets and liabilities. It argues that the accountant must act not only as a recorder of transactions but as an analyst capable of interpreting economic distortions. This resource is highly recommended for understanding the macroeconomic factors that influence micro-level accounting decisions in the region.</w:t>
      </w:r>
    </w:p>
    <w:p>
      <w:pPr>
        <w:pStyle w:val="BodyText"/>
      </w:pPr>
      <w:r>
        <w:t xml:space="preserve">Ministerio del Poder Popular para las Relaciones Laborales. (2020).</w:t>
      </w:r>
      <w:r>
        <w:t xml:space="preserve"> </w:t>
      </w:r>
      <w:r>
        <w:rPr>
          <w:iCs/>
          <w:i/>
        </w:rPr>
        <w:t xml:space="preserve">Ley Orgánica del Trabajo, los Trabajadores y las Trabajadoras (LOTTT): Aspectos Contables y de Nómina.</w:t>
      </w:r>
      <w:r>
        <w:t xml:space="preserve"> </w:t>
      </w:r>
      <w:r>
        <w:t xml:space="preserve">Caracas: Gobierno Bolivariano de Venezuela.</w:t>
      </w:r>
    </w:p>
    <w:p>
      <w:pPr>
        <w:pStyle w:val="BodyText"/>
      </w:pPr>
      <w:r>
        <w:t xml:space="preserve">Labor costs are a significant component of financial management for companies in Caracas, and this document outlines the accounting implications of the Organic Labor Law. It details the requirements for payroll accounting, social security contributions (IVSS, FAOV, INCES), and the calculation of benefits such as the Christmas Bonus and Vacation Pay. For the accountant, this resource is indispensable for ensuring compliance with labor regulations, which are strict and subject to frequent adjustments based on inflation. The text provides clear guidelines on how to record these obligations in the general ledger, ensuring that businesses avoid legal penalties and maintain good labor relations.</w:t>
      </w:r>
    </w:p>
    <w:p>
      <w:pPr>
        <w:pStyle w:val="BodyText"/>
      </w:pPr>
      <w:r>
        <w:t xml:space="preserve">Fernández, S. (2023).</w:t>
      </w:r>
      <w:r>
        <w:t xml:space="preserve"> </w:t>
      </w:r>
      <w:r>
        <w:rPr>
          <w:iCs/>
          <w:i/>
        </w:rPr>
        <w:t xml:space="preserve">Ética Profesional del Contador en Venezuela: Desafíos en la Actualidad.</w:t>
      </w:r>
      <w:r>
        <w:t xml:space="preserve"> </w:t>
      </w:r>
      <w:r>
        <w:t xml:space="preserve">Caracas: Universidad Central de Venezuela.</w:t>
      </w:r>
    </w:p>
    <w:p>
      <w:pPr>
        <w:pStyle w:val="BodyText"/>
      </w:pPr>
      <w:r>
        <w:t xml:space="preserve">This thesis explores the ethical dilemmas faced by accountants in Venezuela, particularly in the context of economic pressure and regulatory ambiguity. It discusses the importance of integrity, objectivity, and professional competence in an environment where there may be incentives to manipulate financial data. The author emphasizes the role of the accountant in Caracas as a guardian of economic truth, advocating for adherence to international ethical standards despite local challenges. This work is crucial for understanding the professional responsibilities of the accountant and the impact of ethical decision-making on the credibility of financial reporting in the country.</w:t>
      </w:r>
    </w:p>
    <w:p>
      <w:pPr>
        <w:pStyle w:val="BodyText"/>
      </w:pPr>
      <w:r>
        <w:t xml:space="preserve">Banco Central de Venezuela (BCV). (2023).</w:t>
      </w:r>
      <w:r>
        <w:t xml:space="preserve"> </w:t>
      </w:r>
      <w:r>
        <w:rPr>
          <w:iCs/>
          <w:i/>
        </w:rPr>
        <w:t xml:space="preserve">Boletín Económico Mensual: Indicadores de Inflación y Tipo de Cambio.</w:t>
      </w:r>
      <w:r>
        <w:t xml:space="preserve"> </w:t>
      </w:r>
      <w:r>
        <w:t xml:space="preserve">Caracas: BCV.</w:t>
      </w:r>
    </w:p>
    <w:p>
      <w:pPr>
        <w:pStyle w:val="BodyText"/>
      </w:pPr>
      <w:r>
        <w:t xml:space="preserve">While not a traditional accounting text, this monthly bulletin is a vital resource for any accountant operating in Caracas. It provides official data on inflation rates, exchange rates, and monetary policy decisions that directly affect financial accounting. Accountants use this information to perform inflation adjustments, calculate foreign exchange gains and losses, and forecast future financial performance. The reliability of this data is essential for preparing accurate financial statements in compliance with Venezuelan accounting standards. Regular consultation of this bulletin is necessary for staying informed about the economic indicators that drive accounting practices in the country.</w:t>
      </w:r>
    </w:p>
    <w:p>
      <w:pPr>
        <w:pStyle w:val="BodyText"/>
      </w:pPr>
      <w:r>
        <w:t xml:space="preserve">López, A. (2022).</w:t>
      </w:r>
      <w:r>
        <w:t xml:space="preserve"> </w:t>
      </w:r>
      <w:r>
        <w:rPr>
          <w:iCs/>
          <w:i/>
        </w:rPr>
        <w:t xml:space="preserve">Gestión Financiera en la Era del Dólar: Estrategias para Empresas en Caracas.</w:t>
      </w:r>
      <w:r>
        <w:t xml:space="preserve"> </w:t>
      </w:r>
      <w:r>
        <w:t xml:space="preserve">Caracas: Editorial Alfaomega.</w:t>
      </w:r>
    </w:p>
    <w:p>
      <w:pPr>
        <w:pStyle w:val="BodyText"/>
      </w:pPr>
      <w:r>
        <w:t xml:space="preserve">This book addresses the practical reality of dollarization in the Venezuelan economy, particularly in Caracas. It provides strategies for accountants to manage dual-currency operations, including the recording of transactions in foreign currency and the conversion of financial statements. The author discusses the risks associated with currency fluctuations and offers techniques for hedging and financial planning. This resource is highly relevant for accountants who need to adapt traditional accounting methods to a market where the US dollar is widely used for pricing and transactions, even if the Bolivar remains the official currency.</w:t>
      </w:r>
    </w:p>
    <w:p>
      <w:pPr>
        <w:pStyle w:val="BodyText"/>
      </w:pPr>
      <w:r>
        <w:t xml:space="preserve">Colegio de Contadores Públicos del Estado Miranda. (2021).</w:t>
      </w:r>
      <w:r>
        <w:t xml:space="preserve"> </w:t>
      </w:r>
      <w:r>
        <w:rPr>
          <w:iCs/>
          <w:i/>
        </w:rPr>
        <w:t xml:space="preserve">Manual de Auditoría en Venezuela: Normas y Procedimientos.</w:t>
      </w:r>
      <w:r>
        <w:t xml:space="preserve"> </w:t>
      </w:r>
      <w:r>
        <w:t xml:space="preserve">Caracas: CCPME.</w:t>
      </w:r>
    </w:p>
    <w:p>
      <w:pPr>
        <w:pStyle w:val="BodyText"/>
      </w:pPr>
      <w:r>
        <w:t xml:space="preserve">This manual provides a detailed overview of auditing standards and procedures applicable in Venezuela. It is particularly useful for accountants in Caracas who are involved in external or internal auditing. The text covers the planning, execution, and reporting phases of an audit, with specific attention to the challenges posed by the Venezuelan economic context. It emphasizes the importance of evidence gathering and professional skepticism in an environment where financial records may be affected by inflation and currency controls. This resource is essential for ensuring the quality and reliability of audit opinions issued by accountants in the region.</w:t>
      </w:r>
    </w:p>
    <w:bookmarkEnd w:id="21"/>
    <w:bookmarkStart w:id="22" w:name="conclusion"/>
    <w:p>
      <w:pPr>
        <w:pStyle w:val="Heading2"/>
      </w:pPr>
      <w:r>
        <w:t xml:space="preserve">Conclusion</w:t>
      </w:r>
    </w:p>
    <w:p>
      <w:pPr>
        <w:pStyle w:val="FirstParagraph"/>
      </w:pPr>
      <w:r>
        <w:t xml:space="preserve">The annotated bibliography presented above highlights the multifaceted role of the accountant in Venezuela Caracas. From navigating hyperinflation and complex tax laws to managing dual-currency operations and upholding ethical standards, the profession requires a high level of expertise and adaptability. These resources provide a solid foundation for understanding the unique challenges and opportunities that define accounting practice in this dynamic and challenging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Venezuela Caracas</dc:title>
  <dc:creator/>
  <dc:language>en</dc:language>
  <cp:keywords/>
  <dcterms:created xsi:type="dcterms:W3CDTF">2026-08-07T01:46:22Z</dcterms:created>
  <dcterms:modified xsi:type="dcterms:W3CDTF">2026-08-07T01:46:22Z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