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Architectural</w:t>
      </w:r>
      <w:r>
        <w:t xml:space="preserve"> </w:t>
      </w:r>
      <w:r>
        <w:t xml:space="preserve">Practice</w:t>
      </w:r>
      <w:r>
        <w:t xml:space="preserve"> </w:t>
      </w:r>
      <w:r>
        <w:t xml:space="preserve">in</w:t>
      </w:r>
      <w:r>
        <w:t xml:space="preserve"> </w:t>
      </w:r>
      <w:r>
        <w:t xml:space="preserve">Frankfurt,</w:t>
      </w:r>
      <w:r>
        <w:t xml:space="preserve"> </w:t>
      </w:r>
      <w:r>
        <w:t xml:space="preserve">Germany</w:t>
      </w:r>
    </w:p>
    <w:bookmarkStart w:id="20" w:name="X0b311779a1ee295a2dee943f67b37dfb2069545"/>
    <w:p>
      <w:pPr>
        <w:pStyle w:val="Heading1"/>
      </w:pPr>
      <w:r>
        <w:t xml:space="preserve">Annotated Bibliography: Architectural Practice in Frankfurt, Germany</w:t>
      </w:r>
    </w:p>
    <w:p>
      <w:pPr>
        <w:pStyle w:val="FirstParagraph"/>
      </w:pPr>
      <w:r>
        <w:t xml:space="preserve">This annotated bibliography compiles essential literature regarding the profession of the architect within the specific context of Frankfurt am Main, Germany. As a global financial hub and a city with a distinct post-war reconstruction history, Frankfurt presents unique challenges and opportunities for architectural practice. The selected sources cover regulatory frameworks, urban planning strategies, sustainable design mandates, and the historical evolution of the city's skyline. These resources are critical for any architect intending to practice, collaborate, or conduct research within the Frankfurt metropolitan area.</w:t>
      </w:r>
    </w:p>
    <w:p>
      <w:pPr>
        <w:pStyle w:val="BodyText"/>
      </w:pPr>
      <w:r>
        <w:t xml:space="preserve"> </w:t>
      </w:r>
      <w:r>
        <w:t xml:space="preserve">Bundesministerium der Justiz und für Verbraucherschutz. (2023).</w:t>
      </w:r>
      <w:r>
        <w:t xml:space="preserve"> </w:t>
      </w:r>
      <w:r>
        <w:rPr>
          <w:iCs/>
          <w:i/>
        </w:rPr>
        <w:t xml:space="preserve">Baugesetzbuch (BauGB) – Gesetz über die Ordnung des Raumes und die Entwicklung der Städte und Gemeinden</w:t>
      </w:r>
      <w:r>
        <w:t xml:space="preserve">. Berlin: Bundesgesetzblatt.</w:t>
      </w:r>
      <w:r>
        <w:t xml:space="preserve"> </w:t>
      </w:r>
    </w:p>
    <w:p>
      <w:pPr>
        <w:pStyle w:val="BodyText"/>
      </w:pPr>
      <w:r>
        <w:t xml:space="preserve">The</w:t>
      </w:r>
      <w:r>
        <w:t xml:space="preserve"> </w:t>
      </w:r>
      <w:r>
        <w:rPr>
          <w:iCs/>
          <w:i/>
        </w:rPr>
        <w:t xml:space="preserve">Baugesetzbuch</w:t>
      </w:r>
      <w:r>
        <w:t xml:space="preserve"> </w:t>
      </w:r>
      <w:r>
        <w:t xml:space="preserve">(Federal Building Code) is the foundational legal text governing urban planning and construction in Germany. For an architect working in Frankfurt, this document is indispensable. It outlines the procedures for creating binding land-use plans (</w:t>
      </w:r>
      <w:r>
        <w:rPr>
          <w:iCs/>
          <w:i/>
        </w:rPr>
        <w:t xml:space="preserve">Bebauungspläne</w:t>
      </w:r>
      <w:r>
        <w:t xml:space="preserve">), which dictate zoning, building heights, and density. Frankfurt’s rapid vertical expansion is heavily regulated under this code. This source provides the statutory basis for understanding how architectural projects are approved, how public participation is integrated into the planning process, and how federal interests intersect with local municipal goals in Hesse.</w:t>
      </w:r>
    </w:p>
    <w:p>
      <w:pPr>
        <w:pStyle w:val="BodyText"/>
      </w:pPr>
      <w:r>
        <w:t xml:space="preserve">Regulatory Framework</w:t>
      </w:r>
      <w:r>
        <w:t xml:space="preserve"> </w:t>
      </w:r>
      <w:r>
        <w:t xml:space="preserve">Urban Planning</w:t>
      </w:r>
      <w:r>
        <w:t xml:space="preserve"> </w:t>
      </w:r>
      <w:r>
        <w:t xml:space="preserve">German Law</w:t>
      </w:r>
    </w:p>
    <w:p>
      <w:pPr>
        <w:pStyle w:val="BodyText"/>
      </w:pPr>
      <w:r>
        <w:t xml:space="preserve"> </w:t>
      </w:r>
      <w:r>
        <w:t xml:space="preserve">Stadt Frankfurt am Main. (2021).</w:t>
      </w:r>
      <w:r>
        <w:t xml:space="preserve"> </w:t>
      </w:r>
      <w:r>
        <w:rPr>
          <w:iCs/>
          <w:i/>
        </w:rPr>
        <w:t xml:space="preserve">Städtebauliche Leitlinien für Hochhäuser in Frankfurt am Main</w:t>
      </w:r>
      <w:r>
        <w:t xml:space="preserve">. Frankfurt: Magistrat der Stadt Frankfurt am Main.</w:t>
      </w:r>
      <w:r>
        <w:t xml:space="preserve"> </w:t>
      </w:r>
    </w:p>
    <w:p>
      <w:pPr>
        <w:pStyle w:val="BodyText"/>
      </w:pPr>
      <w:r>
        <w:t xml:space="preserve">Known colloquially as "Mainhattan," Frankfurt is one of the few cities in Germany with a significant skyline of skyscrapers. This municipal document provides specific urban design guidelines for high-rise construction. It addresses critical concerns such as wind tunnels, shadow casting, and the visual integration of towers into the existing urban fabric. For architects designing commercial or residential high-rises in the Bankenviertel or Westend, this text is a primary reference. It details the city’s expectations regarding facade design, ground-floor activation, and the relationship between new structures and the historic city center.</w:t>
      </w:r>
    </w:p>
    <w:p>
      <w:pPr>
        <w:pStyle w:val="BodyText"/>
      </w:pPr>
      <w:r>
        <w:t xml:space="preserve">High-Rise Design</w:t>
      </w:r>
      <w:r>
        <w:t xml:space="preserve"> </w:t>
      </w:r>
      <w:r>
        <w:t xml:space="preserve">Local Guidelines</w:t>
      </w:r>
      <w:r>
        <w:t xml:space="preserve"> </w:t>
      </w:r>
      <w:r>
        <w:t xml:space="preserve">Frankfurt Skyline</w:t>
      </w:r>
    </w:p>
    <w:p>
      <w:pPr>
        <w:pStyle w:val="BodyText"/>
      </w:pPr>
      <w:r>
        <w:t xml:space="preserve"> </w:t>
      </w:r>
      <w:r>
        <w:t xml:space="preserve">Hesse State Building Authority. (2022).</w:t>
      </w:r>
      <w:r>
        <w:t xml:space="preserve"> </w:t>
      </w:r>
      <w:r>
        <w:rPr>
          <w:iCs/>
          <w:i/>
        </w:rPr>
        <w:t xml:space="preserve">Hessische Bauordnung (HBO) – Landesbauordnung für das Land Hessen</w:t>
      </w:r>
      <w:r>
        <w:t xml:space="preserve">. Wiesbaden: Hessisches Ministerium des Innern und für Sport.</w:t>
      </w:r>
      <w:r>
        <w:t xml:space="preserve"> </w:t>
      </w:r>
    </w:p>
    <w:p>
      <w:pPr>
        <w:pStyle w:val="BodyText"/>
      </w:pPr>
      <w:r>
        <w:t xml:space="preserve">While the federal code governs planning, the</w:t>
      </w:r>
      <w:r>
        <w:t xml:space="preserve"> </w:t>
      </w:r>
      <w:r>
        <w:rPr>
          <w:iCs/>
          <w:i/>
        </w:rPr>
        <w:t xml:space="preserve">Hessische Bauordnung</w:t>
      </w:r>
      <w:r>
        <w:t xml:space="preserve"> </w:t>
      </w:r>
      <w:r>
        <w:t xml:space="preserve">(HBO) governs the technical execution of buildings within the state of Hesse, where Frankfurt is located. This document is crucial for the technical architect. It specifies requirements for fire safety, structural integrity, accessibility, and energy efficiency. Given Frankfurt’s strict adherence to modern safety standards, particularly in multi-story buildings, the HBO serves as the technical checklist for compliance. It also outlines the responsibilities of the architect during the construction phase, including coordination with building inspectors and liability issues.</w:t>
      </w:r>
    </w:p>
    <w:p>
      <w:pPr>
        <w:pStyle w:val="BodyText"/>
      </w:pPr>
      <w:r>
        <w:t xml:space="preserve">Technical Standards</w:t>
      </w:r>
      <w:r>
        <w:t xml:space="preserve"> </w:t>
      </w:r>
      <w:r>
        <w:t xml:space="preserve">State Law</w:t>
      </w:r>
      <w:r>
        <w:t xml:space="preserve"> </w:t>
      </w:r>
      <w:r>
        <w:t xml:space="preserve">Construction Compliance</w:t>
      </w:r>
    </w:p>
    <w:p>
      <w:pPr>
        <w:pStyle w:val="BodyText"/>
      </w:pPr>
      <w:r>
        <w:t xml:space="preserve"> </w:t>
      </w:r>
      <w:r>
        <w:t xml:space="preserve">Koolhaas, R., &amp; Ma, H. (2002).</w:t>
      </w:r>
      <w:r>
        <w:t xml:space="preserve"> </w:t>
      </w:r>
      <w:r>
        <w:rPr>
          <w:iCs/>
          <w:i/>
        </w:rPr>
        <w:t xml:space="preserve">S, M, L, XL</w:t>
      </w:r>
      <w:r>
        <w:t xml:space="preserve">. Rotterdam: 010 Publishers. (Specifically: "Frankfurt: The New City" section).</w:t>
      </w:r>
      <w:r>
        <w:t xml:space="preserve"> </w:t>
      </w:r>
    </w:p>
    <w:p>
      <w:pPr>
        <w:pStyle w:val="BodyText"/>
      </w:pPr>
      <w:r>
        <w:t xml:space="preserve">Rem Koolhaas and Hans Ulrich Obrist’s seminal work includes a profound analysis of Frankfurt’s urban condition. While not a regulatory text, it offers a critical theoretical framework for understanding the city’s identity as a "city of the future" that constantly reinvents itself. For the contemporary architect, this source provides context on the cultural and philosophical implications of building in a city defined by finance and reconstruction. It challenges architects to consider how their work contributes to the narrative of a city that lacks a traditional medieval core but possesses a dynamic, modernist soul.</w:t>
      </w:r>
    </w:p>
    <w:p>
      <w:pPr>
        <w:pStyle w:val="BodyText"/>
      </w:pPr>
      <w:r>
        <w:t xml:space="preserve">Architectural Theory</w:t>
      </w:r>
      <w:r>
        <w:t xml:space="preserve"> </w:t>
      </w:r>
      <w:r>
        <w:t xml:space="preserve">Urban Identity</w:t>
      </w:r>
      <w:r>
        <w:t xml:space="preserve"> </w:t>
      </w:r>
      <w:r>
        <w:t xml:space="preserve">Critical Analysis</w:t>
      </w:r>
    </w:p>
    <w:p>
      <w:pPr>
        <w:pStyle w:val="BodyText"/>
      </w:pPr>
      <w:r>
        <w:t xml:space="preserve"> </w:t>
      </w:r>
      <w:r>
        <w:t xml:space="preserve">Deutsche Gesellschaft für Nachhaltiges Bauen (DGNB). (2023).</w:t>
      </w:r>
      <w:r>
        <w:t xml:space="preserve"> </w:t>
      </w:r>
      <w:r>
        <w:rPr>
          <w:iCs/>
          <w:i/>
        </w:rPr>
        <w:t xml:space="preserve">DGNB System für Nachhaltiges Bauen: Zertifizierung von Neubauten</w:t>
      </w:r>
      <w:r>
        <w:t xml:space="preserve">. Berlin: DGNB e.V.</w:t>
      </w:r>
      <w:r>
        <w:t xml:space="preserve"> </w:t>
      </w:r>
    </w:p>
    <w:p>
      <w:pPr>
        <w:pStyle w:val="BodyText"/>
      </w:pPr>
      <w:r>
        <w:t xml:space="preserve">Germany is a global leader in sustainable construction, and Frankfurt is at the forefront of this movement. The DGNB certification system is the most widely used standard for green building in the country. This document outlines the criteria for environmental, economic, socio-cultural, and technical quality. For architects in Frankfurt, achieving DGNB certification is often a client requirement, especially for commercial real estate. This source is essential for integrating sustainable materials, energy-efficient systems, and lifecycle assessments into the design process to meet the high environmental standards expected in the Frankfurt market.</w:t>
      </w:r>
    </w:p>
    <w:p>
      <w:pPr>
        <w:pStyle w:val="BodyText"/>
      </w:pPr>
      <w:r>
        <w:t xml:space="preserve">Sustainability</w:t>
      </w:r>
      <w:r>
        <w:t xml:space="preserve"> </w:t>
      </w:r>
      <w:r>
        <w:t xml:space="preserve">Green Building</w:t>
      </w:r>
      <w:r>
        <w:t xml:space="preserve"> </w:t>
      </w:r>
      <w:r>
        <w:t xml:space="preserve">Certification</w:t>
      </w:r>
    </w:p>
    <w:p>
      <w:pPr>
        <w:pStyle w:val="BodyText"/>
      </w:pPr>
      <w:r>
        <w:t xml:space="preserve"> </w:t>
      </w:r>
      <w:r>
        <w:t xml:space="preserve">Rieck, H. (2015).</w:t>
      </w:r>
      <w:r>
        <w:t xml:space="preserve"> </w:t>
      </w:r>
      <w:r>
        <w:rPr>
          <w:iCs/>
          <w:i/>
        </w:rPr>
        <w:t xml:space="preserve">Frankfurt am Main: Architektur und Stadtplanung im 20. Jahrhundert</w:t>
      </w:r>
      <w:r>
        <w:t xml:space="preserve">. Berlin: Jovis Verlag.</w:t>
      </w:r>
      <w:r>
        <w:t xml:space="preserve"> </w:t>
      </w:r>
    </w:p>
    <w:p>
      <w:pPr>
        <w:pStyle w:val="BodyText"/>
      </w:pPr>
      <w:r>
        <w:t xml:space="preserve">This comprehensive historical survey traces the development of Frankfurt’s architecture from the early modernist experiments to the post-war reconstruction and the contemporary era. It highlights key figures and projects that shaped the city’s current form. For an architect practicing in Frankfurt, understanding this history is vital for contextual sensitivity. The book explains why certain areas are protected heritage sites and why others are open to radical modernization. It provides a nuanced view of how political and economic forces have influenced the built environment, offering lessons for future interventions.</w:t>
      </w:r>
    </w:p>
    <w:p>
      <w:pPr>
        <w:pStyle w:val="BodyText"/>
      </w:pPr>
      <w:r>
        <w:t xml:space="preserve">History</w:t>
      </w:r>
      <w:r>
        <w:t xml:space="preserve"> </w:t>
      </w:r>
      <w:r>
        <w:t xml:space="preserve">Heritage</w:t>
      </w:r>
      <w:r>
        <w:t xml:space="preserve"> </w:t>
      </w:r>
      <w:r>
        <w:t xml:space="preserve">Modernism</w:t>
      </w:r>
    </w:p>
    <w:p>
      <w:pPr>
        <w:pStyle w:val="BodyText"/>
      </w:pPr>
      <w:r>
        <w:t xml:space="preserve"> </w:t>
      </w:r>
      <w:r>
        <w:t xml:space="preserve">Architektenkammer Hessen. (2023).</w:t>
      </w:r>
      <w:r>
        <w:t xml:space="preserve"> </w:t>
      </w:r>
      <w:r>
        <w:rPr>
          <w:iCs/>
          <w:i/>
        </w:rPr>
        <w:t xml:space="preserve">Regelwerk für Architekten und Ingenieure in Hessen</w:t>
      </w:r>
      <w:r>
        <w:t xml:space="preserve">. Frankfurt: Architektenkammer Hessen.</w:t>
      </w:r>
      <w:r>
        <w:t xml:space="preserve"> </w:t>
      </w:r>
    </w:p>
    <w:p>
      <w:pPr>
        <w:pStyle w:val="BodyText"/>
      </w:pPr>
      <w:r>
        <w:t xml:space="preserve">The Chamber of Architects for Hesse is the professional body that regulates the practice of architecture in the region. This document outlines the professional standards, ethical guidelines, and fee structures (based on HOAI) applicable to architects in Frankfurt. It is a practical resource for understanding the business side of architecture in Germany. It covers topics such as professional liability insurance, continuing education requirements, and the legal rights of architects in contractual disputes. For any architect establishing a practice or working as a freelancer in Frankfurt, this is a mandatory reference.</w:t>
      </w:r>
    </w:p>
    <w:p>
      <w:pPr>
        <w:pStyle w:val="BodyText"/>
      </w:pPr>
      <w:r>
        <w:t xml:space="preserve">Professional Practice</w:t>
      </w:r>
      <w:r>
        <w:t xml:space="preserve"> </w:t>
      </w:r>
      <w:r>
        <w:t xml:space="preserve">Ethics</w:t>
      </w:r>
      <w:r>
        <w:t xml:space="preserve"> </w:t>
      </w:r>
      <w:r>
        <w:t xml:space="preserve">HOAI Fees</w:t>
      </w:r>
    </w:p>
    <w:p>
      <w:pPr>
        <w:pStyle w:val="BodyText"/>
      </w:pPr>
      <w:r>
        <w:t xml:space="preserve"> </w:t>
      </w:r>
      <w:r>
        <w:t xml:space="preserve">Senatsverwaltung für Stadtentwicklung und Wohnen Berlin &amp; Stadt Frankfurt am Main. (2020).</w:t>
      </w:r>
      <w:r>
        <w:t xml:space="preserve"> </w:t>
      </w:r>
      <w:r>
        <w:rPr>
          <w:iCs/>
          <w:i/>
        </w:rPr>
        <w:t xml:space="preserve">Klimaanpassungsstrategie Frankfurt am Main</w:t>
      </w:r>
      <w:r>
        <w:t xml:space="preserve">. Frankfurt: Umweltamt Frankfurt.</w:t>
      </w:r>
      <w:r>
        <w:t xml:space="preserve"> </w:t>
      </w:r>
    </w:p>
    <w:p>
      <w:pPr>
        <w:pStyle w:val="BodyText"/>
      </w:pPr>
      <w:r>
        <w:t xml:space="preserve">Climate change adaptation is a growing priority for urban planners and architects in Germany. This strategy document outlines Frankfurt’s specific goals for reducing heat islands, managing stormwater, and increasing green spaces. It directly impacts architectural design by mandating considerations for green roofs, permeable surfaces, and energy resilience. Architects must align their projects with these long-term climate goals to ensure their buildings remain viable and compliant. This source bridges the gap between environmental policy and architectural design, offering concrete targets for sustainable urban development in the city.</w:t>
      </w:r>
    </w:p>
    <w:p>
      <w:pPr>
        <w:pStyle w:val="BodyText"/>
      </w:pPr>
      <w:r>
        <w:t xml:space="preserve">Climate Adaptation</w:t>
      </w:r>
      <w:r>
        <w:t xml:space="preserve"> </w:t>
      </w:r>
      <w:r>
        <w:t xml:space="preserve">Urban Ecology</w:t>
      </w:r>
      <w:r>
        <w:t xml:space="preserve"> </w:t>
      </w:r>
      <w:r>
        <w:t xml:space="preserve">Future Planning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Architectural Practice in Frankfurt, Germany</dc:title>
  <dc:creator/>
  <dc:language>en</dc:language>
  <cp:keywords/>
  <dcterms:created xsi:type="dcterms:W3CDTF">2026-08-07T19:48:50Z</dcterms:created>
  <dcterms:modified xsi:type="dcterms:W3CDTF">2026-08-07T19:48:50Z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