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Architectural</w:t>
      </w:r>
      <w:r>
        <w:t xml:space="preserve"> </w:t>
      </w:r>
      <w:r>
        <w:t xml:space="preserve">Practice</w:t>
      </w:r>
      <w:r>
        <w:t xml:space="preserve"> </w:t>
      </w:r>
      <w:r>
        <w:t xml:space="preserve">in</w:t>
      </w:r>
      <w:r>
        <w:t xml:space="preserve"> </w:t>
      </w:r>
      <w:r>
        <w:t xml:space="preserve">Almaty,</w:t>
      </w:r>
      <w:r>
        <w:t xml:space="preserve"> </w:t>
      </w:r>
      <w:r>
        <w:t xml:space="preserve">Kazakhstan</w:t>
      </w:r>
    </w:p>
    <w:bookmarkStart w:id="32" w:name="X23d4a881ae70832a037d4f7e52b9547cfd6427a"/>
    <w:p>
      <w:pPr>
        <w:pStyle w:val="Heading1"/>
      </w:pPr>
      <w:r>
        <w:t xml:space="preserve">Annotated Bibliography: The Role of the Architect in Almaty, Kazakhstan</w:t>
      </w:r>
    </w:p>
    <w:p>
      <w:pPr>
        <w:pStyle w:val="FirstParagraph"/>
      </w:pPr>
      <w:r>
        <w:t xml:space="preserve">The following annotated bibliography compiles essential resources regarding the profession of the</w:t>
      </w:r>
      <w:r>
        <w:t xml:space="preserve"> </w:t>
      </w:r>
      <w:r>
        <w:rPr>
          <w:bCs/>
          <w:b/>
        </w:rPr>
        <w:t xml:space="preserve">architect</w:t>
      </w:r>
      <w:r>
        <w:t xml:space="preserve"> </w:t>
      </w:r>
      <w:r>
        <w:t xml:space="preserve">within the specific context of</w:t>
      </w:r>
      <w:r>
        <w:t xml:space="preserve"> </w:t>
      </w:r>
      <w:r>
        <w:rPr>
          <w:bCs/>
          <w:b/>
        </w:rPr>
        <w:t xml:space="preserve">Kazakhstan</w:t>
      </w:r>
      <w:r>
        <w:t xml:space="preserve">, with a primary focus on the capital city of</w:t>
      </w:r>
      <w:r>
        <w:t xml:space="preserve"> </w:t>
      </w:r>
      <w:r>
        <w:rPr>
          <w:bCs/>
          <w:b/>
        </w:rPr>
        <w:t xml:space="preserve">Almaty</w:t>
      </w:r>
      <w:r>
        <w:t xml:space="preserve">. This collection addresses the unique challenges faced by architectural professionals in the region, including seismic safety regulations, the integration of Soviet-era infrastructure with modern sustainable design, and the rapid urbanization trends defining the city's skyline. These sources provide a comprehensive overview of the legal, environmental, and cultural frameworks that guide architectural practice in Almaty today.</w:t>
      </w:r>
    </w:p>
    <w:bookmarkStart w:id="22" w:name="urban-planning-and-historical-context"/>
    <w:p>
      <w:pPr>
        <w:pStyle w:val="Heading2"/>
      </w:pPr>
      <w:r>
        <w:t xml:space="preserve">Urban Planning and Historical Context</w:t>
      </w:r>
    </w:p>
    <w:bookmarkStart w:id="20" w:name="the-evolution-of-almatys-urban-fabric"/>
    <w:p>
      <w:pPr>
        <w:pStyle w:val="Heading3"/>
      </w:pPr>
      <w:r>
        <w:t xml:space="preserve">1. The Evolution of Almaty’s Urban Fabric</w:t>
      </w:r>
    </w:p>
    <w:p>
      <w:pPr>
        <w:pStyle w:val="FirstParagraph"/>
      </w:pPr>
      <w:r>
        <w:t xml:space="preserve">Abdrakhmanova, A., &amp; Kozlov, V. (2019).</w:t>
      </w:r>
      <w:r>
        <w:t xml:space="preserve"> </w:t>
      </w:r>
      <w:r>
        <w:rPr>
          <w:iCs/>
          <w:i/>
        </w:rPr>
        <w:t xml:space="preserve">From Green Capital to Metropolis: Urban Transformation in Almaty, Kazakhstan</w:t>
      </w:r>
      <w:r>
        <w:t xml:space="preserve">. Central Asian Journal of Urban Studies, 12(3), 45-68.</w:t>
      </w:r>
    </w:p>
    <w:p>
      <w:pPr>
        <w:pStyle w:val="BodyText"/>
      </w:pPr>
      <w:r>
        <w:t xml:space="preserve">This academic article provides a critical analysis of how the role of the</w:t>
      </w:r>
      <w:r>
        <w:t xml:space="preserve"> </w:t>
      </w:r>
      <w:r>
        <w:rPr>
          <w:bCs/>
          <w:b/>
        </w:rPr>
        <w:t xml:space="preserve">architect</w:t>
      </w:r>
      <w:r>
        <w:t xml:space="preserve"> </w:t>
      </w:r>
      <w:r>
        <w:t xml:space="preserve">has shifted in</w:t>
      </w:r>
      <w:r>
        <w:t xml:space="preserve"> </w:t>
      </w:r>
      <w:r>
        <w:rPr>
          <w:bCs/>
          <w:b/>
        </w:rPr>
        <w:t xml:space="preserve">Almaty</w:t>
      </w:r>
      <w:r>
        <w:t xml:space="preserve"> </w:t>
      </w:r>
      <w:r>
        <w:t xml:space="preserve">over the last three decades. The authors examine the transition from the city’s historical identity as a "green capital" to its current status as a high-density financial hub. The text is particularly valuable for understanding the pressure architects face to balance high-rise development with the preservation of Almaty’s unique topography and green spaces. It highlights specific case studies where architectural interventions successfully mitigated urban heat island effects, offering practical insights for contemporary practitioners working in</w:t>
      </w:r>
      <w:r>
        <w:t xml:space="preserve"> </w:t>
      </w:r>
      <w:r>
        <w:rPr>
          <w:bCs/>
          <w:b/>
        </w:rPr>
        <w:t xml:space="preserve">Kazakhstan</w:t>
      </w:r>
      <w:r>
        <w:t xml:space="preserve">.</w:t>
      </w:r>
    </w:p>
    <w:bookmarkEnd w:id="20"/>
    <w:bookmarkStart w:id="21" w:name="soviet-legacy-and-modern-adaptation"/>
    <w:p>
      <w:pPr>
        <w:pStyle w:val="Heading3"/>
      </w:pPr>
      <w:r>
        <w:t xml:space="preserve">2. Soviet Legacy and Modern Adaptation</w:t>
      </w:r>
    </w:p>
    <w:p>
      <w:pPr>
        <w:pStyle w:val="FirstParagraph"/>
      </w:pPr>
      <w:r>
        <w:t xml:space="preserve">Smith, J. (2021).</w:t>
      </w:r>
      <w:r>
        <w:t xml:space="preserve"> </w:t>
      </w:r>
      <w:r>
        <w:rPr>
          <w:iCs/>
          <w:i/>
        </w:rPr>
        <w:t xml:space="preserve">Reimagining the Soviet Block: Adaptive Reuse Strategies in Post-Soviet Almaty</w:t>
      </w:r>
      <w:r>
        <w:t xml:space="preserve">. Routledge.</w:t>
      </w:r>
    </w:p>
    <w:p>
      <w:pPr>
        <w:pStyle w:val="BodyText"/>
      </w:pPr>
      <w:r>
        <w:t xml:space="preserve">Smith’s monograph explores the architectural challenge of repurposing vast Soviet-era residential blocks in</w:t>
      </w:r>
      <w:r>
        <w:t xml:space="preserve"> </w:t>
      </w:r>
      <w:r>
        <w:rPr>
          <w:bCs/>
          <w:b/>
        </w:rPr>
        <w:t xml:space="preserve">Almaty</w:t>
      </w:r>
      <w:r>
        <w:t xml:space="preserve">. For the modern</w:t>
      </w:r>
      <w:r>
        <w:t xml:space="preserve"> </w:t>
      </w:r>
      <w:r>
        <w:rPr>
          <w:bCs/>
          <w:b/>
        </w:rPr>
        <w:t xml:space="preserve">architect</w:t>
      </w:r>
      <w:r>
        <w:t xml:space="preserve"> </w:t>
      </w:r>
      <w:r>
        <w:t xml:space="preserve">operating in</w:t>
      </w:r>
      <w:r>
        <w:t xml:space="preserve"> </w:t>
      </w:r>
      <w:r>
        <w:rPr>
          <w:bCs/>
          <w:b/>
        </w:rPr>
        <w:t xml:space="preserve">Kazakhstan</w:t>
      </w:r>
      <w:r>
        <w:t xml:space="preserve">, this resource is indispensable. It details structural assessment techniques specific to the region’s construction history and offers design strategies for integrating modern amenities into older frameworks. The book argues that the future of Almaty’s architecture lies not just in new construction, but in the sensitive renovation of its existing built environment, a perspective crucial for sustainable urban development.</w:t>
      </w:r>
    </w:p>
    <w:bookmarkEnd w:id="21"/>
    <w:bookmarkEnd w:id="22"/>
    <w:bookmarkStart w:id="25" w:name="seismic-design-and-engineering-standards"/>
    <w:p>
      <w:pPr>
        <w:pStyle w:val="Heading2"/>
      </w:pPr>
      <w:r>
        <w:t xml:space="preserve">Seismic Design and Engineering Standards</w:t>
      </w:r>
    </w:p>
    <w:bookmarkStart w:id="23" w:name="X073231227748d53c1ad54db07a7fb9449bfd542"/>
    <w:p>
      <w:pPr>
        <w:pStyle w:val="Heading3"/>
      </w:pPr>
      <w:r>
        <w:t xml:space="preserve">3. Seismic Resilience in Central Asian Architecture</w:t>
      </w:r>
    </w:p>
    <w:p>
      <w:pPr>
        <w:pStyle w:val="FirstParagraph"/>
      </w:pPr>
      <w:r>
        <w:t xml:space="preserve">National Agency for Technical Regulation and Metrology of the Republic of Kazakhstan. (2020).</w:t>
      </w:r>
      <w:r>
        <w:t xml:space="preserve"> </w:t>
      </w:r>
      <w:r>
        <w:rPr>
          <w:iCs/>
          <w:i/>
        </w:rPr>
        <w:t xml:space="preserve">SNiP RK 2.01.07-2020: Load and Impact on Buildings and Structures in Seismic Zones</w:t>
      </w:r>
      <w:r>
        <w:t xml:space="preserve">. Astana: Government Press.</w:t>
      </w:r>
    </w:p>
    <w:p>
      <w:pPr>
        <w:pStyle w:val="BodyText"/>
      </w:pPr>
      <w:r>
        <w:t xml:space="preserve">As</w:t>
      </w:r>
      <w:r>
        <w:t xml:space="preserve"> </w:t>
      </w:r>
      <w:r>
        <w:rPr>
          <w:bCs/>
          <w:b/>
        </w:rPr>
        <w:t xml:space="preserve">Almaty</w:t>
      </w:r>
      <w:r>
        <w:t xml:space="preserve"> </w:t>
      </w:r>
      <w:r>
        <w:t xml:space="preserve">is located in a highly active seismic zone, this official regulatory document is the primary reference for any</w:t>
      </w:r>
      <w:r>
        <w:t xml:space="preserve"> </w:t>
      </w:r>
      <w:r>
        <w:rPr>
          <w:bCs/>
          <w:b/>
        </w:rPr>
        <w:t xml:space="preserve">architect</w:t>
      </w:r>
      <w:r>
        <w:t xml:space="preserve"> </w:t>
      </w:r>
      <w:r>
        <w:t xml:space="preserve">practicing in</w:t>
      </w:r>
      <w:r>
        <w:t xml:space="preserve"> </w:t>
      </w:r>
      <w:r>
        <w:rPr>
          <w:bCs/>
          <w:b/>
        </w:rPr>
        <w:t xml:space="preserve">Kazakhstan</w:t>
      </w:r>
      <w:r>
        <w:t xml:space="preserve">. It outlines the mandatory load calculations, material specifications, and structural integrity requirements necessary to ensure building safety during earthquakes. The annotation emphasizes that adherence to these standards is not merely a legal obligation but a fundamental ethical requirement for architects in the region. The document provides the technical backbone for designing resilient infrastructure capable of withstanding the specific geological risks of the Almaty valley.</w:t>
      </w:r>
    </w:p>
    <w:bookmarkEnd w:id="23"/>
    <w:bookmarkStart w:id="24" w:name="X4127e75ab80e095011ff08a6df6d1f9e2219adc"/>
    <w:p>
      <w:pPr>
        <w:pStyle w:val="Heading3"/>
      </w:pPr>
      <w:r>
        <w:t xml:space="preserve">4. Innovative Structural Solutions for High-Rises</w:t>
      </w:r>
    </w:p>
    <w:p>
      <w:pPr>
        <w:pStyle w:val="FirstParagraph"/>
      </w:pPr>
      <w:r>
        <w:t xml:space="preserve">Petrov, I., &amp; Nurpeisov, K. (2022).</w:t>
      </w:r>
      <w:r>
        <w:t xml:space="preserve"> </w:t>
      </w:r>
      <w:r>
        <w:rPr>
          <w:iCs/>
          <w:i/>
        </w:rPr>
        <w:t xml:space="preserve">High-Rise Engineering in Seismic Regions: Lessons from Almaty’s Skyline</w:t>
      </w:r>
      <w:r>
        <w:t xml:space="preserve">. International Journal of Architectural Engineering, 15(2), 112-130.</w:t>
      </w:r>
    </w:p>
    <w:p>
      <w:pPr>
        <w:pStyle w:val="BodyText"/>
      </w:pPr>
      <w:r>
        <w:t xml:space="preserve">This peer-reviewed paper analyzes the structural systems used in Almaty’s most prominent skyscrapers. It is highly relevant for the</w:t>
      </w:r>
      <w:r>
        <w:t xml:space="preserve"> </w:t>
      </w:r>
      <w:r>
        <w:rPr>
          <w:bCs/>
          <w:b/>
        </w:rPr>
        <w:t xml:space="preserve">architect</w:t>
      </w:r>
      <w:r>
        <w:t xml:space="preserve"> </w:t>
      </w:r>
      <w:r>
        <w:t xml:space="preserve">interested in vertical urbanization in</w:t>
      </w:r>
      <w:r>
        <w:t xml:space="preserve"> </w:t>
      </w:r>
      <w:r>
        <w:rPr>
          <w:bCs/>
          <w:b/>
        </w:rPr>
        <w:t xml:space="preserve">Kazakhstan</w:t>
      </w:r>
      <w:r>
        <w:t xml:space="preserve">. The authors discuss the use of base isolation and damping systems tailored to the local soil conditions of Almaty. The study provides empirical data on how these technologies perform, offering a scientific basis for designing taller, safer structures in a city where the skyline is constantly evolving.</w:t>
      </w:r>
    </w:p>
    <w:bookmarkEnd w:id="24"/>
    <w:bookmarkEnd w:id="25"/>
    <w:bookmarkStart w:id="28" w:name="sustainability-and-climate-adaptation"/>
    <w:p>
      <w:pPr>
        <w:pStyle w:val="Heading2"/>
      </w:pPr>
      <w:r>
        <w:t xml:space="preserve">Sustainability and Climate Adaptation</w:t>
      </w:r>
    </w:p>
    <w:bookmarkStart w:id="26" w:name="green-building-standards-in-central-asia"/>
    <w:p>
      <w:pPr>
        <w:pStyle w:val="Heading3"/>
      </w:pPr>
      <w:r>
        <w:t xml:space="preserve">5. Green Building Standards in Central Asia</w:t>
      </w:r>
    </w:p>
    <w:p>
      <w:pPr>
        <w:pStyle w:val="FirstParagraph"/>
      </w:pPr>
      <w:r>
        <w:t xml:space="preserve">Green Building Council of Kazakhstan. (2023).</w:t>
      </w:r>
      <w:r>
        <w:t xml:space="preserve"> </w:t>
      </w:r>
      <w:r>
        <w:rPr>
          <w:iCs/>
          <w:i/>
        </w:rPr>
        <w:t xml:space="preserve">Kazakhstan Green Building Rating System: Guidelines for Architects and Developers</w:t>
      </w:r>
      <w:r>
        <w:t xml:space="preserve">. Almaty: GBCK Publications.</w:t>
      </w:r>
    </w:p>
    <w:p>
      <w:pPr>
        <w:pStyle w:val="BodyText"/>
      </w:pPr>
      <w:r>
        <w:t xml:space="preserve">This guideline document introduces the localized green building rating system adopted in</w:t>
      </w:r>
      <w:r>
        <w:t xml:space="preserve"> </w:t>
      </w:r>
      <w:r>
        <w:rPr>
          <w:bCs/>
          <w:b/>
        </w:rPr>
        <w:t xml:space="preserve">Kazakhstan</w:t>
      </w:r>
      <w:r>
        <w:t xml:space="preserve">. For the</w:t>
      </w:r>
      <w:r>
        <w:t xml:space="preserve"> </w:t>
      </w:r>
      <w:r>
        <w:rPr>
          <w:bCs/>
          <w:b/>
        </w:rPr>
        <w:t xml:space="preserve">architect</w:t>
      </w:r>
      <w:r>
        <w:t xml:space="preserve"> </w:t>
      </w:r>
      <w:r>
        <w:t xml:space="preserve">in</w:t>
      </w:r>
      <w:r>
        <w:t xml:space="preserve"> </w:t>
      </w:r>
      <w:r>
        <w:rPr>
          <w:bCs/>
          <w:b/>
        </w:rPr>
        <w:t xml:space="preserve">Almaty</w:t>
      </w:r>
      <w:r>
        <w:t xml:space="preserve">, it serves as a roadmap for achieving sustainability certifications. The text addresses regional climate challenges, such as extreme temperature fluctuations and water scarcity, providing specific recommendations for energy-efficient envelope design and water management systems. It bridges the gap between global sustainability goals and the practical realities of construction in Almaty.</w:t>
      </w:r>
    </w:p>
    <w:bookmarkEnd w:id="26"/>
    <w:bookmarkStart w:id="27" w:name="X551ef20a2d9e6e66cf3d36a8edd67b19c4b636e"/>
    <w:p>
      <w:pPr>
        <w:pStyle w:val="Heading3"/>
      </w:pPr>
      <w:r>
        <w:t xml:space="preserve">6. Passive Design Strategies for Continental Climates</w:t>
      </w:r>
    </w:p>
    <w:p>
      <w:pPr>
        <w:pStyle w:val="FirstParagraph"/>
      </w:pPr>
      <w:r>
        <w:t xml:space="preserve">Williams, R. (2018).</w:t>
      </w:r>
      <w:r>
        <w:t xml:space="preserve"> </w:t>
      </w:r>
      <w:r>
        <w:rPr>
          <w:iCs/>
          <w:i/>
        </w:rPr>
        <w:t xml:space="preserve">Climate-Responsive Architecture in Central Asia: A Design Manual</w:t>
      </w:r>
      <w:r>
        <w:t xml:space="preserve">. Springer.</w:t>
      </w:r>
    </w:p>
    <w:p>
      <w:pPr>
        <w:pStyle w:val="BodyText"/>
      </w:pPr>
      <w:r>
        <w:t xml:space="preserve">Williams offers a comprehensive design manual focused on passive architectural strategies suitable for the continental climate of</w:t>
      </w:r>
      <w:r>
        <w:t xml:space="preserve"> </w:t>
      </w:r>
      <w:r>
        <w:rPr>
          <w:bCs/>
          <w:b/>
        </w:rPr>
        <w:t xml:space="preserve">Almaty</w:t>
      </w:r>
      <w:r>
        <w:t xml:space="preserve">. The book is essential reading for any</w:t>
      </w:r>
      <w:r>
        <w:t xml:space="preserve"> </w:t>
      </w:r>
      <w:r>
        <w:rPr>
          <w:bCs/>
          <w:b/>
        </w:rPr>
        <w:t xml:space="preserve">architect</w:t>
      </w:r>
      <w:r>
        <w:t xml:space="preserve"> </w:t>
      </w:r>
      <w:r>
        <w:t xml:space="preserve">seeking to reduce reliance on mechanical heating and cooling in</w:t>
      </w:r>
      <w:r>
        <w:t xml:space="preserve"> </w:t>
      </w:r>
      <w:r>
        <w:rPr>
          <w:bCs/>
          <w:b/>
        </w:rPr>
        <w:t xml:space="preserve">Kazakhstan</w:t>
      </w:r>
      <w:r>
        <w:t xml:space="preserve">. It covers orientation, shading, thermal mass, and natural ventilation techniques that are culturally and climatically appropriate. The resource emphasizes how traditional Kazakh architectural wisdom can be integrated with modern passive design principles to create comfortable, low-energy buildings.</w:t>
      </w:r>
    </w:p>
    <w:bookmarkEnd w:id="27"/>
    <w:bookmarkEnd w:id="28"/>
    <w:bookmarkStart w:id="31" w:name="cultural-identity-and-aesthetics"/>
    <w:p>
      <w:pPr>
        <w:pStyle w:val="Heading2"/>
      </w:pPr>
      <w:r>
        <w:t xml:space="preserve">Cultural Identity and Aesthetics</w:t>
      </w:r>
    </w:p>
    <w:bookmarkStart w:id="29" w:name="Xc7ef470a8ecd97ac022332b5106fb674e3f2282"/>
    <w:p>
      <w:pPr>
        <w:pStyle w:val="Heading3"/>
      </w:pPr>
      <w:r>
        <w:t xml:space="preserve">7. Contemporary Kazakh Architectural Identity</w:t>
      </w:r>
    </w:p>
    <w:p>
      <w:pPr>
        <w:pStyle w:val="FirstParagraph"/>
      </w:pPr>
      <w:r>
        <w:t xml:space="preserve">Tuleubayev, M. (2020).</w:t>
      </w:r>
      <w:r>
        <w:t xml:space="preserve"> </w:t>
      </w:r>
      <w:r>
        <w:rPr>
          <w:iCs/>
          <w:i/>
        </w:rPr>
        <w:t xml:space="preserve">Identity in Concrete: The Search for a National Style in Modern Kazakhstan</w:t>
      </w:r>
      <w:r>
        <w:t xml:space="preserve">. Central Asian Survey, 39(4), 501-520.</w:t>
      </w:r>
    </w:p>
    <w:p>
      <w:pPr>
        <w:pStyle w:val="BodyText"/>
      </w:pPr>
      <w:r>
        <w:t xml:space="preserve">This article critically examines the aesthetic direction of architecture in</w:t>
      </w:r>
      <w:r>
        <w:t xml:space="preserve"> </w:t>
      </w:r>
      <w:r>
        <w:rPr>
          <w:bCs/>
          <w:b/>
        </w:rPr>
        <w:t xml:space="preserve">Almaty</w:t>
      </w:r>
      <w:r>
        <w:t xml:space="preserve"> </w:t>
      </w:r>
      <w:r>
        <w:t xml:space="preserve">and the broader nation. Tuleubayev argues that the</w:t>
      </w:r>
      <w:r>
        <w:t xml:space="preserve"> </w:t>
      </w:r>
      <w:r>
        <w:rPr>
          <w:bCs/>
          <w:b/>
        </w:rPr>
        <w:t xml:space="preserve">architect</w:t>
      </w:r>
      <w:r>
        <w:t xml:space="preserve"> </w:t>
      </w:r>
      <w:r>
        <w:t xml:space="preserve">in</w:t>
      </w:r>
      <w:r>
        <w:t xml:space="preserve"> </w:t>
      </w:r>
      <w:r>
        <w:rPr>
          <w:bCs/>
          <w:b/>
        </w:rPr>
        <w:t xml:space="preserve">Kazakhstan</w:t>
      </w:r>
      <w:r>
        <w:t xml:space="preserve"> </w:t>
      </w:r>
      <w:r>
        <w:t xml:space="preserve">plays a pivotal role in defining national identity through built form. The text analyzes recent public buildings in Almaty, discussing how motifs from nomadic heritage are reinterpreted in contemporary materials. It is a vital resource for architects aiming to create designs that resonate with local culture while maintaining a modern, global aesthetic.</w:t>
      </w:r>
    </w:p>
    <w:bookmarkEnd w:id="29"/>
    <w:bookmarkStart w:id="30" w:name="public-spaces-and-social-interaction"/>
    <w:p>
      <w:pPr>
        <w:pStyle w:val="Heading3"/>
      </w:pPr>
      <w:r>
        <w:t xml:space="preserve">8. Public Spaces and Social Interaction</w:t>
      </w:r>
    </w:p>
    <w:p>
      <w:pPr>
        <w:pStyle w:val="FirstParagraph"/>
      </w:pPr>
      <w:r>
        <w:t xml:space="preserve">Almaty City Administration. (2021).</w:t>
      </w:r>
      <w:r>
        <w:t xml:space="preserve"> </w:t>
      </w:r>
      <w:r>
        <w:rPr>
          <w:iCs/>
          <w:i/>
        </w:rPr>
        <w:t xml:space="preserve">Master Plan for Public Spaces Development in Almaty (2021-2025)</w:t>
      </w:r>
      <w:r>
        <w:t xml:space="preserve">. Almaty: Municipal Press.</w:t>
      </w:r>
    </w:p>
    <w:p>
      <w:pPr>
        <w:pStyle w:val="BodyText"/>
      </w:pPr>
      <w:r>
        <w:t xml:space="preserve">This official municipal document outlines the strategic vision for public spaces in</w:t>
      </w:r>
      <w:r>
        <w:t xml:space="preserve"> </w:t>
      </w:r>
      <w:r>
        <w:rPr>
          <w:bCs/>
          <w:b/>
        </w:rPr>
        <w:t xml:space="preserve">Almaty</w:t>
      </w:r>
      <w:r>
        <w:t xml:space="preserve">. For the</w:t>
      </w:r>
      <w:r>
        <w:t xml:space="preserve"> </w:t>
      </w:r>
      <w:r>
        <w:rPr>
          <w:bCs/>
          <w:b/>
        </w:rPr>
        <w:t xml:space="preserve">architect</w:t>
      </w:r>
      <w:r>
        <w:t xml:space="preserve"> </w:t>
      </w:r>
      <w:r>
        <w:t xml:space="preserve">specializing in landscape and urban design in</w:t>
      </w:r>
      <w:r>
        <w:t xml:space="preserve"> </w:t>
      </w:r>
      <w:r>
        <w:rPr>
          <w:bCs/>
          <w:b/>
        </w:rPr>
        <w:t xml:space="preserve">Kazakhstan</w:t>
      </w:r>
      <w:r>
        <w:t xml:space="preserve">, it provides crucial context for upcoming projects. The plan emphasizes the creation of pedestrian-friendly zones, parks, and cultural hubs that foster social interaction. Understanding this master plan is essential for architects to align their proposals with the city’s long-term development goals and to contribute effectively to the social fabric of Almaty.</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Architectural Practice in Almaty, Kazakhstan</dc:title>
  <dc:creator/>
  <dc:language>en</dc:language>
  <cp:keywords/>
  <dcterms:created xsi:type="dcterms:W3CDTF">2026-08-07T19:48:11Z</dcterms:created>
  <dcterms:modified xsi:type="dcterms:W3CDTF">2026-08-07T19:48:11Z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