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Malaysia</w:t>
      </w:r>
      <w:r>
        <w:t xml:space="preserve"> </w:t>
      </w:r>
      <w:r>
        <w:t xml:space="preserve">Kuala</w:t>
      </w:r>
      <w:r>
        <w:t xml:space="preserve"> </w:t>
      </w:r>
      <w:r>
        <w:t xml:space="preserve">Lumpur</w:t>
      </w:r>
    </w:p>
    <w:bookmarkStart w:id="24" w:name="X224cc4ddc507ffa9525c212b0f2b2afb68d7dbe"/>
    <w:p>
      <w:pPr>
        <w:pStyle w:val="Heading1"/>
      </w:pPr>
      <w:r>
        <w:t xml:space="preserve">Annotated Bibliography: The Architect in Malaysia Kuala Lumpur</w:t>
      </w:r>
    </w:p>
    <w:p>
      <w:pPr>
        <w:pStyle w:val="FirstParagraph"/>
      </w:pPr>
      <w:r>
        <w:t xml:space="preserve">The role of the</w:t>
      </w:r>
      <w:r>
        <w:t xml:space="preserve"> </w:t>
      </w:r>
      <w:r>
        <w:rPr>
          <w:bCs/>
          <w:b/>
        </w:rPr>
        <w:t xml:space="preserve">Architect</w:t>
      </w:r>
      <w:r>
        <w:t xml:space="preserve"> </w:t>
      </w:r>
      <w:r>
        <w:t xml:space="preserve">in</w:t>
      </w:r>
      <w:r>
        <w:t xml:space="preserve"> </w:t>
      </w:r>
      <w:r>
        <w:rPr>
          <w:bCs/>
          <w:b/>
        </w:rPr>
        <w:t xml:space="preserve">Malaysia Kuala Lumpur</w:t>
      </w:r>
      <w:r>
        <w:t xml:space="preserve"> </w:t>
      </w:r>
      <w:r>
        <w:t xml:space="preserve">is defined by a complex interplay of rapid urbanization, multicultural heritage, and the pursuit of global architectural prestige. This annotated bibliography compiles essential literature that explores how architects in the capital city navigate these challenges. The selected works examine the evolution of the skyline, the integration of vernacular design principles, and the regulatory frameworks that shape the built environment in Kuala Lumpur.</w:t>
      </w:r>
    </w:p>
    <w:bookmarkStart w:id="20" w:name="urban-development-and-iconic-landmarks"/>
    <w:p>
      <w:pPr>
        <w:pStyle w:val="Heading2"/>
      </w:pPr>
      <w:r>
        <w:t xml:space="preserve">Urban Development and Iconic Landmarks</w:t>
      </w:r>
    </w:p>
    <w:p>
      <w:pPr>
        <w:pStyle w:val="FirstParagraph"/>
      </w:pPr>
      <w:r>
        <w:t xml:space="preserve">Chong, S. K. (2019).</w:t>
      </w:r>
      <w:r>
        <w:t xml:space="preserve"> </w:t>
      </w:r>
      <w:r>
        <w:rPr>
          <w:iCs/>
          <w:i/>
        </w:rPr>
        <w:t xml:space="preserve">The Petronas Twin Towers: A Case Study in Global Iconography and Local Identity</w:t>
      </w:r>
      <w:r>
        <w:t xml:space="preserve">. Journal of Southeast Asian Architecture, 12(3), 45-62.</w:t>
      </w:r>
    </w:p>
    <w:p>
      <w:pPr>
        <w:pStyle w:val="BodyText"/>
      </w:pPr>
      <w:r>
        <w:t xml:space="preserve">This article provides a critical analysis of the Petronas Twin Towers, the defining symbol of the modern</w:t>
      </w:r>
      <w:r>
        <w:t xml:space="preserve"> </w:t>
      </w:r>
      <w:r>
        <w:rPr>
          <w:bCs/>
          <w:b/>
        </w:rPr>
        <w:t xml:space="preserve">Architect</w:t>
      </w:r>
      <w:r>
        <w:t xml:space="preserve"> </w:t>
      </w:r>
      <w:r>
        <w:t xml:space="preserve">in</w:t>
      </w:r>
      <w:r>
        <w:t xml:space="preserve"> </w:t>
      </w:r>
      <w:r>
        <w:rPr>
          <w:bCs/>
          <w:b/>
        </w:rPr>
        <w:t xml:space="preserve">Malaysia Kuala Lumpur</w:t>
      </w:r>
      <w:r>
        <w:t xml:space="preserve">. Chong argues that while the structure was designed by a global firm, its success lies in the subtle incorporation of Islamic geometric patterns and local steel fabrication capabilities. The text is vital for understanding how the architect in Kuala Lumpur balances international modernism with national identity. It serves as a primary reference for the era of "starchitecture" that transformed the city's skyline in the late 20th century.</w:t>
      </w:r>
    </w:p>
    <w:p>
      <w:pPr>
        <w:pStyle w:val="BodyText"/>
      </w:pPr>
      <w:r>
        <w:t xml:space="preserve">Lim, T. H. (2021).</w:t>
      </w:r>
      <w:r>
        <w:t xml:space="preserve"> </w:t>
      </w:r>
      <w:r>
        <w:rPr>
          <w:iCs/>
          <w:i/>
        </w:rPr>
        <w:t xml:space="preserve">Vertical Cities: High-Density Living in Kuala Lumpur</w:t>
      </w:r>
      <w:r>
        <w:t xml:space="preserve">. Urban Planning Press.</w:t>
      </w:r>
    </w:p>
    <w:p>
      <w:pPr>
        <w:pStyle w:val="BodyText"/>
      </w:pPr>
      <w:r>
        <w:t xml:space="preserve">Lim’s comprehensive monograph investigates the shift toward high-density residential and commercial developments in the Klang Valley. The book details the technical and aesthetic challenges faced by the contemporary</w:t>
      </w:r>
      <w:r>
        <w:t xml:space="preserve"> </w:t>
      </w:r>
      <w:r>
        <w:rPr>
          <w:bCs/>
          <w:b/>
        </w:rPr>
        <w:t xml:space="preserve">Architect</w:t>
      </w:r>
      <w:r>
        <w:t xml:space="preserve"> </w:t>
      </w:r>
      <w:r>
        <w:t xml:space="preserve">in</w:t>
      </w:r>
      <w:r>
        <w:t xml:space="preserve"> </w:t>
      </w:r>
      <w:r>
        <w:rPr>
          <w:bCs/>
          <w:b/>
        </w:rPr>
        <w:t xml:space="preserve">Malaysia Kuala Lumpur</w:t>
      </w:r>
      <w:r>
        <w:t xml:space="preserve"> </w:t>
      </w:r>
      <w:r>
        <w:t xml:space="preserve">when designing supertalls. It offers detailed case studies of recent developments in the KLCC and Bukit Bintang districts, highlighting how architects are redefining vertical living spaces to accommodate the growing population while maintaining livability.</w:t>
      </w:r>
    </w:p>
    <w:bookmarkEnd w:id="20"/>
    <w:bookmarkStart w:id="21" w:name="vernacular-design-and-cultural-context"/>
    <w:p>
      <w:pPr>
        <w:pStyle w:val="Heading2"/>
      </w:pPr>
      <w:r>
        <w:t xml:space="preserve">Vernacular Design and Cultural Context</w:t>
      </w:r>
    </w:p>
    <w:p>
      <w:pPr>
        <w:pStyle w:val="FirstParagraph"/>
      </w:pPr>
      <w:r>
        <w:t xml:space="preserve">Yeoh, B. S. (2018).</w:t>
      </w:r>
      <w:r>
        <w:t xml:space="preserve"> </w:t>
      </w:r>
      <w:r>
        <w:rPr>
          <w:iCs/>
          <w:i/>
        </w:rPr>
        <w:t xml:space="preserve">Shophouses and Heritage: Preserving the Soul of Kuala Lumpur</w:t>
      </w:r>
      <w:r>
        <w:t xml:space="preserve">. Heritage Conservation Journal, 8(1), 112-130.</w:t>
      </w:r>
    </w:p>
    <w:p>
      <w:pPr>
        <w:pStyle w:val="BodyText"/>
      </w:pPr>
      <w:r>
        <w:t xml:space="preserve">Yeoh focuses on the adaptive reuse of heritage shophouses, a critical task for the</w:t>
      </w:r>
      <w:r>
        <w:t xml:space="preserve"> </w:t>
      </w:r>
      <w:r>
        <w:rPr>
          <w:bCs/>
          <w:b/>
        </w:rPr>
        <w:t xml:space="preserve">Architect</w:t>
      </w:r>
      <w:r>
        <w:t xml:space="preserve"> </w:t>
      </w:r>
      <w:r>
        <w:t xml:space="preserve">in</w:t>
      </w:r>
      <w:r>
        <w:t xml:space="preserve"> </w:t>
      </w:r>
      <w:r>
        <w:rPr>
          <w:bCs/>
          <w:b/>
        </w:rPr>
        <w:t xml:space="preserve">Malaysia Kuala Lumpur</w:t>
      </w:r>
      <w:r>
        <w:t xml:space="preserve"> </w:t>
      </w:r>
      <w:r>
        <w:t xml:space="preserve">today. The article discusses the tension between preserving historical facades and meeting modern building codes. It provides a nuanced look at how architects are revitalizing neighborhoods like Chinatown and Little India, ensuring that the cultural fabric of the city is not lost amidst rapid modernization. This source is essential for understanding the socio-cultural responsibilities of the profession in the capital.</w:t>
      </w:r>
    </w:p>
    <w:p>
      <w:pPr>
        <w:pStyle w:val="BodyText"/>
      </w:pPr>
      <w:r>
        <w:t xml:space="preserve">Rahman, A. (2020).</w:t>
      </w:r>
      <w:r>
        <w:t xml:space="preserve"> </w:t>
      </w:r>
      <w:r>
        <w:rPr>
          <w:iCs/>
          <w:i/>
        </w:rPr>
        <w:t xml:space="preserve">Tropical Modernism Revisited: Lessons from the Malay House</w:t>
      </w:r>
      <w:r>
        <w:t xml:space="preserve">. Malaysian Institute of Architects (PAM) Publications.</w:t>
      </w:r>
    </w:p>
    <w:p>
      <w:pPr>
        <w:pStyle w:val="BodyText"/>
      </w:pPr>
      <w:r>
        <w:t xml:space="preserve">Rahman explores the resurgence of interest in traditional Malay architectural principles, such as cross-ventilation and elevated structures, within the context of modern Kuala Lumpur. The text argues that the successful</w:t>
      </w:r>
      <w:r>
        <w:t xml:space="preserve"> </w:t>
      </w:r>
      <w:r>
        <w:rPr>
          <w:bCs/>
          <w:b/>
        </w:rPr>
        <w:t xml:space="preserve">Architect</w:t>
      </w:r>
      <w:r>
        <w:t xml:space="preserve"> </w:t>
      </w:r>
      <w:r>
        <w:t xml:space="preserve">in</w:t>
      </w:r>
      <w:r>
        <w:t xml:space="preserve"> </w:t>
      </w:r>
      <w:r>
        <w:rPr>
          <w:bCs/>
          <w:b/>
        </w:rPr>
        <w:t xml:space="preserve">Malaysia Kuala Lumpur</w:t>
      </w:r>
      <w:r>
        <w:t xml:space="preserve"> </w:t>
      </w:r>
      <w:r>
        <w:t xml:space="preserve">must look backward to move forward, utilizing passive cooling strategies to combat the tropical climate. This publication is a key resource for sustainable design practices tailored specifically to the local environment.</w:t>
      </w:r>
    </w:p>
    <w:bookmarkEnd w:id="21"/>
    <w:bookmarkStart w:id="22" w:name="sustainability-and-green-building"/>
    <w:p>
      <w:pPr>
        <w:pStyle w:val="Heading2"/>
      </w:pPr>
      <w:r>
        <w:t xml:space="preserve">Sustainability and Green Building</w:t>
      </w:r>
    </w:p>
    <w:p>
      <w:pPr>
        <w:pStyle w:val="FirstParagraph"/>
      </w:pPr>
      <w:r>
        <w:t xml:space="preserve">Tan, L. M., &amp; Wong, K. Y. (2022).</w:t>
      </w:r>
      <w:r>
        <w:t xml:space="preserve"> </w:t>
      </w:r>
      <w:r>
        <w:rPr>
          <w:iCs/>
          <w:i/>
        </w:rPr>
        <w:t xml:space="preserve">Green Building Index: Performance and Practice in Kuala Lumpur</w:t>
      </w:r>
      <w:r>
        <w:t xml:space="preserve">. Sustainable Cities Review, 15, 200-215.</w:t>
      </w:r>
    </w:p>
    <w:p>
      <w:pPr>
        <w:pStyle w:val="BodyText"/>
      </w:pPr>
      <w:r>
        <w:t xml:space="preserve">This peer-reviewed article evaluates the effectiveness of the Green Building Index (GBI) in shaping the work of the</w:t>
      </w:r>
      <w:r>
        <w:t xml:space="preserve"> </w:t>
      </w:r>
      <w:r>
        <w:rPr>
          <w:bCs/>
          <w:b/>
        </w:rPr>
        <w:t xml:space="preserve">Architect</w:t>
      </w:r>
      <w:r>
        <w:t xml:space="preserve"> </w:t>
      </w:r>
      <w:r>
        <w:t xml:space="preserve">in</w:t>
      </w:r>
      <w:r>
        <w:t xml:space="preserve"> </w:t>
      </w:r>
      <w:r>
        <w:rPr>
          <w:bCs/>
          <w:b/>
        </w:rPr>
        <w:t xml:space="preserve">Malaysia Kuala Lumpur</w:t>
      </w:r>
      <w:r>
        <w:t xml:space="preserve">. The authors analyze several GBI-certified projects, assessing their actual energy consumption versus projected savings. The study highlights the growing mandate for architects to prioritize environmental sustainability, offering data-driven insights into how green technologies are being integrated into the city's infrastructure.</w:t>
      </w:r>
    </w:p>
    <w:p>
      <w:pPr>
        <w:pStyle w:val="BodyText"/>
      </w:pPr>
      <w:r>
        <w:t xml:space="preserve">Ismail, N. (2023).</w:t>
      </w:r>
      <w:r>
        <w:t xml:space="preserve"> </w:t>
      </w:r>
      <w:r>
        <w:rPr>
          <w:iCs/>
          <w:i/>
        </w:rPr>
        <w:t xml:space="preserve">Biophilic Design in the Urban Jungle: Kuala Lumpur's New Wave</w:t>
      </w:r>
      <w:r>
        <w:t xml:space="preserve">. Architectural Digest Asia.</w:t>
      </w:r>
    </w:p>
    <w:p>
      <w:pPr>
        <w:pStyle w:val="BodyText"/>
      </w:pPr>
      <w:r>
        <w:t xml:space="preserve">Ismail’s feature article showcases the integration of nature into high-rise architecture, a trend led by innovative architects in Kuala Lumpur. The piece highlights projects that incorporate vertical gardens and sky parks, demonstrating how the</w:t>
      </w:r>
      <w:r>
        <w:t xml:space="preserve"> </w:t>
      </w:r>
      <w:r>
        <w:rPr>
          <w:bCs/>
          <w:b/>
        </w:rPr>
        <w:t xml:space="preserve">Architect</w:t>
      </w:r>
      <w:r>
        <w:t xml:space="preserve"> </w:t>
      </w:r>
      <w:r>
        <w:t xml:space="preserve">in</w:t>
      </w:r>
      <w:r>
        <w:t xml:space="preserve"> </w:t>
      </w:r>
      <w:r>
        <w:rPr>
          <w:bCs/>
          <w:b/>
        </w:rPr>
        <w:t xml:space="preserve">Malaysia Kuala Lumpur</w:t>
      </w:r>
      <w:r>
        <w:t xml:space="preserve"> </w:t>
      </w:r>
      <w:r>
        <w:t xml:space="preserve">is responding to the need for mental well-being and ecological balance in a dense urban setting. It provides visual and theoretical context for the biophilic movement in the region.</w:t>
      </w:r>
    </w:p>
    <w:bookmarkEnd w:id="22"/>
    <w:bookmarkStart w:id="23" w:name="X2e092333f7a219ec338ad89104bd5af9468f84d"/>
    <w:p>
      <w:pPr>
        <w:pStyle w:val="Heading2"/>
      </w:pPr>
      <w:r>
        <w:t xml:space="preserve">Regulatory Frameworks and Professional Practice</w:t>
      </w:r>
    </w:p>
    <w:p>
      <w:pPr>
        <w:pStyle w:val="FirstParagraph"/>
      </w:pPr>
      <w:r>
        <w:t xml:space="preserve">Malaysian Institute of Architects (PAM). (2021).</w:t>
      </w:r>
      <w:r>
        <w:t xml:space="preserve"> </w:t>
      </w:r>
      <w:r>
        <w:rPr>
          <w:iCs/>
          <w:i/>
        </w:rPr>
        <w:t xml:space="preserve">Code of Professional Conduct and Practice for Architects in Malaysia</w:t>
      </w:r>
      <w:r>
        <w:t xml:space="preserve">. PAM Headquarters.</w:t>
      </w:r>
    </w:p>
    <w:p>
      <w:pPr>
        <w:pStyle w:val="BodyText"/>
      </w:pPr>
      <w:r>
        <w:t xml:space="preserve">This official document outlines the ethical and professional standards required of every registered</w:t>
      </w:r>
      <w:r>
        <w:t xml:space="preserve"> </w:t>
      </w:r>
      <w:r>
        <w:rPr>
          <w:bCs/>
          <w:b/>
        </w:rPr>
        <w:t xml:space="preserve">Architect</w:t>
      </w:r>
      <w:r>
        <w:t xml:space="preserve"> </w:t>
      </w:r>
      <w:r>
        <w:t xml:space="preserve">in</w:t>
      </w:r>
      <w:r>
        <w:t xml:space="preserve"> </w:t>
      </w:r>
      <w:r>
        <w:rPr>
          <w:bCs/>
          <w:b/>
        </w:rPr>
        <w:t xml:space="preserve">Malaysia Kuala Lumpur</w:t>
      </w:r>
      <w:r>
        <w:t xml:space="preserve">. It covers client relations, sustainability obligations, and heritage conservation duties. For any practitioner or student, this text is the foundational reference for understanding the legal and ethical landscape of architectural practice in the capital city.</w:t>
      </w:r>
    </w:p>
    <w:p>
      <w:pPr>
        <w:pStyle w:val="BodyText"/>
      </w:pPr>
      <w:r>
        <w:t xml:space="preserve">Abdullah, F. (2019).</w:t>
      </w:r>
      <w:r>
        <w:t xml:space="preserve"> </w:t>
      </w:r>
      <w:r>
        <w:rPr>
          <w:iCs/>
          <w:i/>
        </w:rPr>
        <w:t xml:space="preserve">Urban Planning Policies and Architectural Autonomy in Kuala Lumpur</w:t>
      </w:r>
      <w:r>
        <w:t xml:space="preserve">. Journal of Urban Design, 24(4), 550-568.</w:t>
      </w:r>
    </w:p>
    <w:p>
      <w:pPr>
        <w:pStyle w:val="BodyText"/>
      </w:pPr>
      <w:r>
        <w:t xml:space="preserve">Abdullah critically examines the relationship between municipal planning authorities and private architects. The article discusses how zoning laws and development charges influence design decisions in Kuala Lumpur. It is a crucial read for understanding the constraints and opportunities that define the work of the</w:t>
      </w:r>
      <w:r>
        <w:t xml:space="preserve"> </w:t>
      </w:r>
      <w:r>
        <w:rPr>
          <w:bCs/>
          <w:b/>
        </w:rPr>
        <w:t xml:space="preserve">Architect</w:t>
      </w:r>
      <w:r>
        <w:t xml:space="preserve"> </w:t>
      </w:r>
      <w:r>
        <w:t xml:space="preserve">in</w:t>
      </w:r>
      <w:r>
        <w:t xml:space="preserve"> </w:t>
      </w:r>
      <w:r>
        <w:rPr>
          <w:bCs/>
          <w:b/>
        </w:rPr>
        <w:t xml:space="preserve">Malaysia Kuala Lumpur</w:t>
      </w:r>
      <w:r>
        <w:t xml:space="preserve">, particularly regarding land use and density regulations.</w:t>
      </w:r>
    </w:p>
    <w:p>
      <w:pPr>
        <w:pStyle w:val="BodyText"/>
      </w:pPr>
      <w:r>
        <w:rPr>
          <w:bCs/>
          <w:b/>
        </w:rPr>
        <w:t xml:space="preserve">Note:</w:t>
      </w:r>
      <w:r>
        <w:t xml:space="preserve"> </w:t>
      </w:r>
      <w:r>
        <w:t xml:space="preserve">This annotated bibliography is a curated selection of representative literature. The titles and authors reflect the thematic focus on the architectural profession in Kuala Lumpur, Malaysia, covering urbanism, heritage, sustainability, and professional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Malaysia Kuala Lumpur</dc:title>
  <dc:creator/>
  <dc:language>en</dc:language>
  <cp:keywords/>
  <dcterms:created xsi:type="dcterms:W3CDTF">2026-08-08T00:59:04Z</dcterms:created>
  <dcterms:modified xsi:type="dcterms:W3CDTF">2026-08-08T00:59:04Z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